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D" w:rsidRDefault="00B6126A" w:rsidP="006163ED">
      <w:r>
        <w:t xml:space="preserve">Continuing Education Competencies: </w:t>
      </w:r>
      <w:bookmarkStart w:id="0" w:name="_GoBack"/>
      <w:bookmarkEnd w:id="0"/>
      <w:r w:rsidR="006163ED">
        <w:t xml:space="preserve">Accreditation Council for Graduate Medical Education (ACGME), Institute of Medicine (IOM), </w:t>
      </w:r>
      <w:proofErr w:type="spellStart"/>
      <w:r w:rsidR="006163ED">
        <w:t>Interprofessional</w:t>
      </w:r>
      <w:proofErr w:type="spellEnd"/>
      <w:r w:rsidR="006163ED">
        <w:t xml:space="preserve"> Education Collaborative(IPEC), Center for the Advancement of Pharmacy Education (CAPE), Pharmacy Techni</w:t>
      </w:r>
      <w:r w:rsidR="006163ED">
        <w:t>cian Certification Board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Patient and</w:t>
      </w:r>
      <w:r>
        <w:t xml:space="preserve"> Procedural Skills (ABMS/ACGME)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Medical Knowledge (ABNS/ACGME)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Practice Based Learni</w:t>
      </w:r>
      <w:r>
        <w:t>ng and Improvement (ABMS/ACGME)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Interpersonal and Co</w:t>
      </w:r>
      <w:r>
        <w:t>mmunication Skills (ABMS/ACGME)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Pro</w:t>
      </w:r>
      <w:r>
        <w:t>fessionalism (ABMS/ACGME, 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Syst</w:t>
      </w:r>
      <w:r>
        <w:t>ems-based Practice (ABMS/ACGME)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Prov</w:t>
      </w:r>
      <w:r>
        <w:t>ide patient-centered care (IOM)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Work in interdisciplinary teams (IOM)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Emplo</w:t>
      </w:r>
      <w:r>
        <w:t>y evidence-based practice (IOM)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Apply quality improvement (IOM)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Utilize informatics (IOM)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 xml:space="preserve">Values/ethics for </w:t>
      </w:r>
      <w:proofErr w:type="spellStart"/>
      <w:r>
        <w:t>in</w:t>
      </w:r>
      <w:r>
        <w:t>terprofessional</w:t>
      </w:r>
      <w:proofErr w:type="spellEnd"/>
      <w:r>
        <w:t xml:space="preserve"> practice (IPEC)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Roles/responsibilities (IPEC)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proofErr w:type="spellStart"/>
      <w:r>
        <w:t>Interpr</w:t>
      </w:r>
      <w:r>
        <w:t>ofessional</w:t>
      </w:r>
      <w:proofErr w:type="spellEnd"/>
      <w:r>
        <w:t xml:space="preserve"> Communication (IPEC)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Teams and Teamwork (IPEC)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Communication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Cultural sensitivity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Educator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Health and wellness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Innovat</w:t>
      </w:r>
      <w:r>
        <w:t>ion and entrepreneurship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proofErr w:type="spellStart"/>
      <w:r>
        <w:t>Interpr</w:t>
      </w:r>
      <w:r>
        <w:t>ofessional</w:t>
      </w:r>
      <w:proofErr w:type="spellEnd"/>
      <w:r>
        <w:t xml:space="preserve"> collaboration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Leadership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Learner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Medi</w:t>
      </w:r>
      <w:r>
        <w:t>cati</w:t>
      </w:r>
      <w:r>
        <w:t>on use system management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Patient advocacy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Patient Centered Care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Population-based care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Problem solving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Self-awareness (CAPE)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Medication order entry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Medication safety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Pharmacology (PTCB</w:t>
      </w:r>
      <w:r>
        <w:t>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Pharmacy b</w:t>
      </w:r>
      <w:r>
        <w:t>illing and reimbursement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Phar</w:t>
      </w:r>
      <w:r>
        <w:t>macy information systems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Pharm</w:t>
      </w:r>
      <w:r>
        <w:t>acy inventory Management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Phar</w:t>
      </w:r>
      <w:r>
        <w:t>macy law and regulations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Ph</w:t>
      </w:r>
      <w:r>
        <w:t>armacy quality assurance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Sterile and</w:t>
      </w:r>
      <w:r>
        <w:t xml:space="preserve"> non-sterile compounding (PTCB)</w:t>
      </w:r>
    </w:p>
    <w:p w:rsidR="006163ED" w:rsidRDefault="006163ED" w:rsidP="006163ED">
      <w:pPr>
        <w:pStyle w:val="ListParagraph"/>
        <w:numPr>
          <w:ilvl w:val="0"/>
          <w:numId w:val="1"/>
        </w:numPr>
      </w:pPr>
      <w:r>
        <w:t>Ver</w:t>
      </w:r>
      <w:r>
        <w:t>bal communication skills (PTCB)</w:t>
      </w:r>
    </w:p>
    <w:sectPr w:rsidR="00616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A3C"/>
    <w:multiLevelType w:val="hybridMultilevel"/>
    <w:tmpl w:val="84FAF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3ED"/>
    <w:rsid w:val="00357F0E"/>
    <w:rsid w:val="006163ED"/>
    <w:rsid w:val="00B61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C1D44"/>
  <w15:chartTrackingRefBased/>
  <w15:docId w15:val="{0E28666B-C967-491E-8340-9B5F08C4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1322</Characters>
  <Application>Microsoft Office Word</Application>
  <DocSecurity>0</DocSecurity>
  <Lines>57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Children's Hospital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Cunningham, Victoria</dc:creator>
  <cp:keywords/>
  <dc:description/>
  <cp:lastModifiedBy>Cunningham, Victoria</cp:lastModifiedBy>
  <cp:revision>1</cp:revision>
  <dcterms:created xsi:type="dcterms:W3CDTF">2022-12-20T14:21:00Z</dcterms:created>
  <dcterms:modified xsi:type="dcterms:W3CDTF">2022-12-20T14:36:00Z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6a9dd64a-4652-42a0-a55f-fa5301203545</vt:lpwstr>
  </property>
</Properties>
</file>