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0" w:type="auto"/>
        <w:tblLook w:val="04A0" w:firstRow="1" w:lastRow="0" w:firstColumn="1" w:lastColumn="0" w:noHBand="0" w:noVBand="1"/>
      </w:tblPr>
      <w:tblGrid>
        <w:gridCol w:w="3078"/>
        <w:gridCol w:w="2340"/>
      </w:tblGrid>
      <w:tr w:rsidR="00295877" w:rsidTr="00C6462F">
        <w:tc>
          <w:tcPr>
            <w:tcW w:w="3078" w:type="dxa"/>
          </w:tcPr>
          <w:p w:rsidR="00295877" w:rsidRDefault="00C6462F" w:rsidP="00C6462F">
            <w:pPr>
              <w:rPr>
                <w:rFonts w:ascii="Times New Roman" w:hAnsi="Times New Roman" w:cs="Times New Roman"/>
                <w:b/>
                <w:u w:val="single"/>
              </w:rPr>
            </w:pPr>
            <w:r>
              <w:rPr>
                <w:rFonts w:ascii="Times New Roman" w:hAnsi="Times New Roman" w:cs="Times New Roman"/>
                <w:b/>
                <w:u w:val="single"/>
              </w:rPr>
              <w:t>SUBJECT</w:t>
            </w:r>
          </w:p>
          <w:p w:rsidR="00C6462F" w:rsidRDefault="00C6462F" w:rsidP="00C6462F">
            <w:pPr>
              <w:rPr>
                <w:rFonts w:ascii="Times New Roman" w:hAnsi="Times New Roman" w:cs="Times New Roman"/>
                <w:b/>
                <w:u w:val="single"/>
              </w:rPr>
            </w:pPr>
          </w:p>
          <w:p w:rsidR="00C6462F" w:rsidRPr="00C6462F" w:rsidRDefault="00C6462F" w:rsidP="00C6462F">
            <w:pPr>
              <w:rPr>
                <w:rFonts w:ascii="Times New Roman" w:hAnsi="Times New Roman" w:cs="Times New Roman"/>
                <w:b/>
              </w:rPr>
            </w:pPr>
            <w:r>
              <w:rPr>
                <w:rFonts w:ascii="Times New Roman" w:hAnsi="Times New Roman" w:cs="Times New Roman"/>
                <w:b/>
              </w:rPr>
              <w:t>Honoraria Policy, Procedures, and Guidelines</w:t>
            </w:r>
          </w:p>
        </w:tc>
        <w:tc>
          <w:tcPr>
            <w:tcW w:w="2340" w:type="dxa"/>
          </w:tcPr>
          <w:p w:rsidR="00295877" w:rsidRDefault="00C6462F" w:rsidP="00C6462F">
            <w:pPr>
              <w:rPr>
                <w:rFonts w:ascii="Times New Roman" w:hAnsi="Times New Roman" w:cs="Times New Roman"/>
                <w:b/>
                <w:u w:val="single"/>
              </w:rPr>
            </w:pPr>
            <w:r>
              <w:rPr>
                <w:rFonts w:ascii="Times New Roman" w:hAnsi="Times New Roman" w:cs="Times New Roman"/>
                <w:b/>
                <w:u w:val="single"/>
              </w:rPr>
              <w:t>EFFECTIVE DATE</w:t>
            </w:r>
          </w:p>
          <w:p w:rsidR="00C6462F" w:rsidRDefault="00082128" w:rsidP="00C6462F">
            <w:pPr>
              <w:rPr>
                <w:rFonts w:ascii="Times New Roman" w:hAnsi="Times New Roman" w:cs="Times New Roman"/>
                <w:b/>
                <w:u w:val="single"/>
              </w:rPr>
            </w:pPr>
            <w:r>
              <w:rPr>
                <w:rFonts w:ascii="Times New Roman" w:hAnsi="Times New Roman" w:cs="Times New Roman"/>
                <w:b/>
                <w:u w:val="single"/>
              </w:rPr>
              <w:t>1/1/2015</w:t>
            </w:r>
          </w:p>
          <w:p w:rsidR="00C6462F" w:rsidRDefault="00C6462F" w:rsidP="00C6462F">
            <w:pPr>
              <w:rPr>
                <w:rFonts w:ascii="Times New Roman" w:hAnsi="Times New Roman" w:cs="Times New Roman"/>
                <w:b/>
                <w:u w:val="single"/>
              </w:rPr>
            </w:pPr>
          </w:p>
          <w:p w:rsidR="00C6462F" w:rsidRDefault="00C6462F" w:rsidP="00C6462F">
            <w:pPr>
              <w:rPr>
                <w:rFonts w:ascii="Times New Roman" w:hAnsi="Times New Roman" w:cs="Times New Roman"/>
                <w:b/>
                <w:u w:val="single"/>
              </w:rPr>
            </w:pPr>
          </w:p>
        </w:tc>
      </w:tr>
    </w:tbl>
    <w:p w:rsidR="00C6462F" w:rsidRPr="00C6462F" w:rsidRDefault="00C6462F" w:rsidP="00C6462F">
      <w:pPr>
        <w:spacing w:after="0" w:line="240" w:lineRule="auto"/>
        <w:jc w:val="center"/>
        <w:rPr>
          <w:rFonts w:ascii="Times New Roman" w:hAnsi="Times New Roman" w:cs="Times New Roman"/>
          <w:b/>
          <w:sz w:val="20"/>
          <w:szCs w:val="20"/>
        </w:rPr>
      </w:pPr>
      <w:r>
        <w:rPr>
          <w:noProof/>
        </w:rPr>
        <w:drawing>
          <wp:inline distT="0" distB="0" distL="0" distR="0" wp14:anchorId="210713C4" wp14:editId="278E0645">
            <wp:extent cx="2486025" cy="479085"/>
            <wp:effectExtent l="0" t="0" r="0" b="0"/>
            <wp:docPr id="1" name="Picture 1" descr="http://www.schweitzerfellowship.org/wp-content/uploads/2013/11/BCHlogomotto_horizontal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hweitzerfellowship.org/wp-content/uploads/2013/11/BCHlogomotto_horizontal_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9824" cy="479817"/>
                    </a:xfrm>
                    <a:prstGeom prst="rect">
                      <a:avLst/>
                    </a:prstGeom>
                    <a:noFill/>
                    <a:ln>
                      <a:noFill/>
                    </a:ln>
                  </pic:spPr>
                </pic:pic>
              </a:graphicData>
            </a:graphic>
          </wp:inline>
        </w:drawing>
      </w:r>
      <w:r w:rsidRPr="00C6462F">
        <w:rPr>
          <w:rFonts w:ascii="Times New Roman" w:hAnsi="Times New Roman" w:cs="Times New Roman"/>
          <w:b/>
          <w:sz w:val="20"/>
          <w:szCs w:val="20"/>
        </w:rPr>
        <w:t>Boston Children’s Hospital</w:t>
      </w:r>
    </w:p>
    <w:p w:rsidR="00C6462F" w:rsidRPr="00C6462F" w:rsidRDefault="00C6462F" w:rsidP="00C6462F">
      <w:pPr>
        <w:spacing w:after="0" w:line="240" w:lineRule="auto"/>
        <w:jc w:val="center"/>
        <w:rPr>
          <w:rFonts w:ascii="Times New Roman" w:hAnsi="Times New Roman" w:cs="Times New Roman"/>
          <w:sz w:val="20"/>
          <w:szCs w:val="20"/>
        </w:rPr>
      </w:pPr>
      <w:r w:rsidRPr="00C6462F">
        <w:rPr>
          <w:rFonts w:ascii="Times New Roman" w:hAnsi="Times New Roman" w:cs="Times New Roman"/>
          <w:sz w:val="20"/>
          <w:szCs w:val="20"/>
        </w:rPr>
        <w:t xml:space="preserve">Continuing Medical Education Department </w:t>
      </w:r>
    </w:p>
    <w:p w:rsidR="00082128" w:rsidRDefault="00C6462F" w:rsidP="00082128">
      <w:pPr>
        <w:spacing w:after="0" w:line="240" w:lineRule="auto"/>
        <w:ind w:left="4320" w:firstLine="720"/>
        <w:jc w:val="center"/>
        <w:rPr>
          <w:rFonts w:ascii="Times New Roman" w:hAnsi="Times New Roman" w:cs="Times New Roman"/>
          <w:sz w:val="20"/>
          <w:szCs w:val="20"/>
        </w:rPr>
      </w:pPr>
      <w:r w:rsidRPr="00C6462F">
        <w:rPr>
          <w:rFonts w:ascii="Times New Roman" w:hAnsi="Times New Roman" w:cs="Times New Roman"/>
          <w:sz w:val="20"/>
          <w:szCs w:val="20"/>
        </w:rPr>
        <w:t xml:space="preserve">300 Longwood Ave. LM </w:t>
      </w:r>
      <w:r w:rsidR="00082128">
        <w:rPr>
          <w:rFonts w:ascii="Times New Roman" w:hAnsi="Times New Roman" w:cs="Times New Roman"/>
          <w:sz w:val="20"/>
          <w:szCs w:val="20"/>
        </w:rPr>
        <w:t>6405.2</w:t>
      </w:r>
      <w:r w:rsidRPr="00C6462F">
        <w:rPr>
          <w:rFonts w:ascii="Times New Roman" w:hAnsi="Times New Roman" w:cs="Times New Roman"/>
          <w:sz w:val="20"/>
          <w:szCs w:val="20"/>
        </w:rPr>
        <w:t xml:space="preserve"> </w:t>
      </w:r>
    </w:p>
    <w:p w:rsidR="00C6462F" w:rsidRPr="00C6462F" w:rsidRDefault="00C6462F" w:rsidP="00082128">
      <w:pPr>
        <w:spacing w:after="0" w:line="240" w:lineRule="auto"/>
        <w:ind w:left="4320" w:firstLine="720"/>
        <w:jc w:val="center"/>
        <w:rPr>
          <w:rFonts w:ascii="Times New Roman" w:hAnsi="Times New Roman" w:cs="Times New Roman"/>
          <w:sz w:val="20"/>
          <w:szCs w:val="20"/>
        </w:rPr>
      </w:pPr>
      <w:r w:rsidRPr="00C6462F">
        <w:rPr>
          <w:rFonts w:ascii="Times New Roman" w:hAnsi="Times New Roman" w:cs="Times New Roman"/>
          <w:sz w:val="20"/>
          <w:szCs w:val="20"/>
        </w:rPr>
        <w:t>Boston, MA 02215</w:t>
      </w:r>
    </w:p>
    <w:p w:rsidR="001D779E" w:rsidRPr="00295877" w:rsidRDefault="00506DD0" w:rsidP="00C6462F">
      <w:pPr>
        <w:spacing w:line="240" w:lineRule="auto"/>
        <w:rPr>
          <w:rFonts w:ascii="Times New Roman" w:hAnsi="Times New Roman" w:cs="Times New Roman"/>
          <w:b/>
          <w:u w:val="single"/>
        </w:rPr>
      </w:pPr>
      <w:r w:rsidRPr="00295877">
        <w:rPr>
          <w:rFonts w:ascii="Times New Roman" w:hAnsi="Times New Roman" w:cs="Times New Roman"/>
          <w:b/>
          <w:u w:val="single"/>
        </w:rPr>
        <w:t>Purpose</w:t>
      </w:r>
    </w:p>
    <w:p w:rsidR="00506DD0" w:rsidRPr="00295877" w:rsidRDefault="00506DD0" w:rsidP="00506DD0">
      <w:pPr>
        <w:rPr>
          <w:rFonts w:ascii="Times New Roman" w:hAnsi="Times New Roman" w:cs="Times New Roman"/>
        </w:rPr>
      </w:pPr>
      <w:r w:rsidRPr="00295877">
        <w:rPr>
          <w:rFonts w:ascii="Times New Roman" w:hAnsi="Times New Roman" w:cs="Times New Roman"/>
        </w:rPr>
        <w:t>This policy outlines the payment of honoraria for contributors to CME activities certified</w:t>
      </w:r>
      <w:r w:rsidR="00082128">
        <w:rPr>
          <w:rFonts w:ascii="Times New Roman" w:hAnsi="Times New Roman" w:cs="Times New Roman"/>
        </w:rPr>
        <w:t xml:space="preserve"> by Boston Children’s Hospital. </w:t>
      </w:r>
      <w:r w:rsidRPr="00295877">
        <w:rPr>
          <w:rFonts w:ascii="Times New Roman" w:hAnsi="Times New Roman" w:cs="Times New Roman"/>
        </w:rPr>
        <w:t xml:space="preserve">This policy is established in accordance with requirement 3.7 of the ACCME’s </w:t>
      </w:r>
      <w:r w:rsidRPr="00295877">
        <w:rPr>
          <w:rFonts w:ascii="Times New Roman" w:hAnsi="Times New Roman" w:cs="Times New Roman"/>
          <w:i/>
        </w:rPr>
        <w:t>Standards for Commercial Support of Continuing Medical Education</w:t>
      </w:r>
      <w:r w:rsidRPr="00295877">
        <w:rPr>
          <w:rFonts w:ascii="MS Mincho" w:eastAsia="MS Mincho" w:hAnsi="MS Mincho" w:cs="MS Mincho" w:hint="eastAsia"/>
          <w:i/>
        </w:rPr>
        <w:t>℠</w:t>
      </w:r>
      <w:r w:rsidRPr="00295877">
        <w:rPr>
          <w:rFonts w:ascii="Times New Roman" w:hAnsi="Times New Roman" w:cs="Times New Roman"/>
          <w:i/>
        </w:rPr>
        <w:t xml:space="preserve">: Standards to Ensure the Independence in CME Activities (SCS). </w:t>
      </w:r>
      <w:r w:rsidRPr="00295877">
        <w:rPr>
          <w:rFonts w:ascii="Times New Roman" w:hAnsi="Times New Roman" w:cs="Times New Roman"/>
        </w:rPr>
        <w:t xml:space="preserve">It covers all </w:t>
      </w:r>
      <w:r w:rsidR="00082128">
        <w:rPr>
          <w:rFonts w:ascii="Times New Roman" w:hAnsi="Times New Roman" w:cs="Times New Roman"/>
        </w:rPr>
        <w:t>Boston Children’s</w:t>
      </w:r>
      <w:r w:rsidRPr="00295877">
        <w:rPr>
          <w:rFonts w:ascii="Times New Roman" w:hAnsi="Times New Roman" w:cs="Times New Roman"/>
        </w:rPr>
        <w:t>- affiliated and non-</w:t>
      </w:r>
      <w:r w:rsidR="00082128">
        <w:rPr>
          <w:rFonts w:ascii="Times New Roman" w:hAnsi="Times New Roman" w:cs="Times New Roman"/>
        </w:rPr>
        <w:t>Boston Children’s</w:t>
      </w:r>
      <w:r w:rsidRPr="00295877">
        <w:rPr>
          <w:rFonts w:ascii="Times New Roman" w:hAnsi="Times New Roman" w:cs="Times New Roman"/>
        </w:rPr>
        <w:t xml:space="preserve"> affiliated individuals considered to be planners, faculty, authors and reviewers of CME activities (e.g., course directors, guest speakers and lecturers, authors of online courses or enduring materials, etc.).</w:t>
      </w:r>
    </w:p>
    <w:p w:rsidR="00506DD0" w:rsidRPr="00295877" w:rsidRDefault="00506DD0" w:rsidP="00506DD0">
      <w:pPr>
        <w:rPr>
          <w:rFonts w:ascii="Times New Roman" w:hAnsi="Times New Roman" w:cs="Times New Roman"/>
          <w:b/>
          <w:u w:val="single"/>
        </w:rPr>
      </w:pPr>
      <w:r w:rsidRPr="00295877">
        <w:rPr>
          <w:rFonts w:ascii="Times New Roman" w:hAnsi="Times New Roman" w:cs="Times New Roman"/>
          <w:b/>
          <w:u w:val="single"/>
        </w:rPr>
        <w:t>Honoraria Policy</w:t>
      </w:r>
    </w:p>
    <w:p w:rsidR="00506DD0" w:rsidRPr="00295877" w:rsidRDefault="00506DD0" w:rsidP="00506DD0">
      <w:pPr>
        <w:rPr>
          <w:rFonts w:ascii="Times New Roman" w:hAnsi="Times New Roman" w:cs="Times New Roman"/>
        </w:rPr>
      </w:pPr>
      <w:r w:rsidRPr="00295877">
        <w:rPr>
          <w:rFonts w:ascii="Times New Roman" w:hAnsi="Times New Roman" w:cs="Times New Roman"/>
        </w:rPr>
        <w:t>Postgraduate continuing medical education (CME) activities offered by Boston Children’s Hospital may pay reasonable honoraria to the academic planners, faculty, authors, and reviewers who develop and implement these activities.</w:t>
      </w:r>
    </w:p>
    <w:p w:rsidR="00506DD0" w:rsidRPr="00295877" w:rsidRDefault="00506DD0" w:rsidP="00506DD0">
      <w:pPr>
        <w:rPr>
          <w:rFonts w:ascii="Times New Roman" w:hAnsi="Times New Roman" w:cs="Times New Roman"/>
        </w:rPr>
      </w:pPr>
      <w:r w:rsidRPr="00295877">
        <w:rPr>
          <w:rFonts w:ascii="Times New Roman" w:hAnsi="Times New Roman" w:cs="Times New Roman"/>
        </w:rPr>
        <w:t>The decision to offer honoraria payment is at the discretion of Course Directors and their Department Chair. Boston Children’s Hospital does not prescribe honoraria levels, but rather provides guidelines for determining appropriate amounts (see below).</w:t>
      </w:r>
    </w:p>
    <w:p w:rsidR="00506DD0" w:rsidRPr="00295877" w:rsidRDefault="00506DD0" w:rsidP="00506DD0">
      <w:pPr>
        <w:rPr>
          <w:rFonts w:ascii="Times New Roman" w:hAnsi="Times New Roman" w:cs="Times New Roman"/>
        </w:rPr>
      </w:pPr>
      <w:r w:rsidRPr="00295877">
        <w:rPr>
          <w:rFonts w:ascii="Times New Roman" w:hAnsi="Times New Roman" w:cs="Times New Roman"/>
        </w:rPr>
        <w:t xml:space="preserve">All honoraria payments, particularly those paid from activities receiving commercial support are predicted on the faithful adherence of individuals and partner institutions to the Boston Children’s Hospital conflict of interest policies and ACCME SCS. </w:t>
      </w:r>
    </w:p>
    <w:p w:rsidR="00506DD0" w:rsidRPr="00295877" w:rsidRDefault="00506DD0" w:rsidP="00506DD0">
      <w:pPr>
        <w:rPr>
          <w:rFonts w:ascii="Times New Roman" w:hAnsi="Times New Roman" w:cs="Times New Roman"/>
          <w:b/>
          <w:u w:val="single"/>
        </w:rPr>
      </w:pPr>
      <w:r w:rsidRPr="00295877">
        <w:rPr>
          <w:rFonts w:ascii="Times New Roman" w:hAnsi="Times New Roman" w:cs="Times New Roman"/>
          <w:b/>
          <w:u w:val="single"/>
        </w:rPr>
        <w:t>Role of Commercial Support and Honoraria</w:t>
      </w:r>
    </w:p>
    <w:p w:rsidR="00506DD0" w:rsidRPr="00295877" w:rsidRDefault="00506DD0" w:rsidP="00506DD0">
      <w:pPr>
        <w:pStyle w:val="ListParagraph"/>
        <w:numPr>
          <w:ilvl w:val="0"/>
          <w:numId w:val="1"/>
        </w:numPr>
        <w:rPr>
          <w:rFonts w:ascii="Times New Roman" w:hAnsi="Times New Roman" w:cs="Times New Roman"/>
        </w:rPr>
      </w:pPr>
      <w:r w:rsidRPr="00295877">
        <w:rPr>
          <w:rFonts w:ascii="Times New Roman" w:hAnsi="Times New Roman" w:cs="Times New Roman"/>
        </w:rPr>
        <w:t>If an activity is receiving commercial support, funders may not play any role in determining honoraria rates. ¹</w:t>
      </w:r>
    </w:p>
    <w:p w:rsidR="00892FAD" w:rsidRPr="00892FAD" w:rsidRDefault="000A7829" w:rsidP="000A7829">
      <w:pPr>
        <w:pStyle w:val="ListParagraph"/>
        <w:numPr>
          <w:ilvl w:val="0"/>
          <w:numId w:val="1"/>
        </w:numPr>
        <w:rPr>
          <w:rFonts w:ascii="Times New Roman" w:hAnsi="Times New Roman" w:cs="Times New Roman"/>
        </w:rPr>
      </w:pPr>
      <w:r w:rsidRPr="00295877">
        <w:rPr>
          <w:rFonts w:ascii="Times New Roman" w:hAnsi="Times New Roman" w:cs="Times New Roman"/>
          <w:u w:val="single"/>
        </w:rPr>
        <w:t xml:space="preserve">No individual involved in a </w:t>
      </w:r>
      <w:r w:rsidR="00326BC6">
        <w:rPr>
          <w:rFonts w:ascii="Times New Roman" w:hAnsi="Times New Roman" w:cs="Times New Roman"/>
          <w:u w:val="single"/>
        </w:rPr>
        <w:t>CME</w:t>
      </w:r>
      <w:r w:rsidRPr="00295877">
        <w:rPr>
          <w:rFonts w:ascii="Times New Roman" w:hAnsi="Times New Roman" w:cs="Times New Roman"/>
          <w:u w:val="single"/>
        </w:rPr>
        <w:t xml:space="preserve"> activity may receive payment directly from a commercial interest, including honoraria, travel, out-of-pocket expenses or other payments. ²</w:t>
      </w:r>
    </w:p>
    <w:p w:rsidR="00892FAD" w:rsidRPr="00892FAD" w:rsidRDefault="00892FAD" w:rsidP="00892FAD">
      <w:pPr>
        <w:pStyle w:val="ListParagraph"/>
        <w:numPr>
          <w:ilvl w:val="0"/>
          <w:numId w:val="5"/>
        </w:numPr>
        <w:spacing w:after="0"/>
        <w:rPr>
          <w:rFonts w:ascii="Times New Roman" w:hAnsi="Times New Roman" w:cs="Times New Roman"/>
        </w:rPr>
      </w:pPr>
      <w:r w:rsidRPr="00892FAD">
        <w:rPr>
          <w:rFonts w:ascii="Times New Roman" w:hAnsi="Times New Roman" w:cs="Times New Roman"/>
        </w:rPr>
        <w:t xml:space="preserve">Specific honoraria amounts are based on a variety of factors and will be determined on a case-by-case basis. Some considerations include but are not limited to: type of activity, role played in the activity (e.g., advisor, speaker, author, reviewer, etc.), preparation time and amount of time the activity commitment may take away from practice, number of presentations, length of presentation(s), credentials, faculty’s professional reputation, complexity of outcomes data needed, budget available for the individual activity, etc. </w:t>
      </w:r>
    </w:p>
    <w:p w:rsidR="00892FAD" w:rsidRDefault="00892FAD" w:rsidP="00892FAD">
      <w:pPr>
        <w:spacing w:after="0"/>
        <w:rPr>
          <w:rFonts w:ascii="Times New Roman" w:hAnsi="Times New Roman" w:cs="Times New Roman"/>
        </w:rPr>
      </w:pPr>
    </w:p>
    <w:p w:rsidR="000A7829" w:rsidRPr="00295877" w:rsidRDefault="000A7829" w:rsidP="00892FAD">
      <w:pPr>
        <w:spacing w:after="0"/>
        <w:rPr>
          <w:rFonts w:ascii="Times New Roman" w:hAnsi="Times New Roman" w:cs="Times New Roman"/>
        </w:rPr>
      </w:pPr>
      <w:r w:rsidRPr="00295877">
        <w:rPr>
          <w:rFonts w:ascii="Times New Roman" w:hAnsi="Times New Roman" w:cs="Times New Roman"/>
        </w:rPr>
        <w:t>_______________________</w:t>
      </w:r>
    </w:p>
    <w:p w:rsidR="000A7829" w:rsidRPr="00295877" w:rsidRDefault="000A7829" w:rsidP="00892FAD">
      <w:pPr>
        <w:rPr>
          <w:rFonts w:ascii="Times New Roman" w:hAnsi="Times New Roman" w:cs="Times New Roman"/>
        </w:rPr>
      </w:pPr>
      <w:proofErr w:type="gramStart"/>
      <w:r w:rsidRPr="00295877">
        <w:rPr>
          <w:rFonts w:ascii="Times New Roman" w:hAnsi="Times New Roman" w:cs="Times New Roman"/>
        </w:rPr>
        <w:t>¹See ACCME Standards 3.1 and 3.2.</w:t>
      </w:r>
      <w:proofErr w:type="gramEnd"/>
    </w:p>
    <w:p w:rsidR="00892FAD" w:rsidRDefault="000A7829" w:rsidP="00892FAD">
      <w:pPr>
        <w:rPr>
          <w:rFonts w:ascii="Times New Roman" w:hAnsi="Times New Roman" w:cs="Times New Roman"/>
        </w:rPr>
      </w:pPr>
      <w:proofErr w:type="gramStart"/>
      <w:r w:rsidRPr="00295877">
        <w:rPr>
          <w:rFonts w:ascii="Times New Roman" w:hAnsi="Times New Roman" w:cs="Times New Roman"/>
        </w:rPr>
        <w:t>²See ACCME Standards 3.8 and 3.9.</w:t>
      </w:r>
      <w:proofErr w:type="gramEnd"/>
    </w:p>
    <w:p w:rsidR="000A7829" w:rsidRPr="00295877" w:rsidRDefault="000A7829" w:rsidP="000A7829">
      <w:pPr>
        <w:pStyle w:val="ListParagraph"/>
        <w:numPr>
          <w:ilvl w:val="0"/>
          <w:numId w:val="2"/>
        </w:numPr>
        <w:rPr>
          <w:rFonts w:ascii="Times New Roman" w:hAnsi="Times New Roman" w:cs="Times New Roman"/>
        </w:rPr>
      </w:pPr>
      <w:r w:rsidRPr="00295877">
        <w:rPr>
          <w:rFonts w:ascii="Times New Roman" w:hAnsi="Times New Roman" w:cs="Times New Roman"/>
        </w:rPr>
        <w:lastRenderedPageBreak/>
        <w:t xml:space="preserve">The submitted budget for the CME activity must be approved by the Department Chair and must include all projected honoraria expenses. </w:t>
      </w:r>
      <w:r w:rsidR="00295877" w:rsidRPr="00295877">
        <w:rPr>
          <w:rFonts w:ascii="Times New Roman" w:hAnsi="Times New Roman" w:cs="Times New Roman"/>
        </w:rPr>
        <w:t>CMED</w:t>
      </w:r>
      <w:r w:rsidRPr="00295877">
        <w:rPr>
          <w:rFonts w:ascii="Times New Roman" w:hAnsi="Times New Roman" w:cs="Times New Roman"/>
        </w:rPr>
        <w:t xml:space="preserve"> will require specific Department Chair approval of any deviations from the approved activity budget. </w:t>
      </w:r>
    </w:p>
    <w:p w:rsidR="000A7829" w:rsidRPr="00295877" w:rsidRDefault="000A7829" w:rsidP="000A7829">
      <w:pPr>
        <w:rPr>
          <w:rFonts w:ascii="Times New Roman" w:hAnsi="Times New Roman" w:cs="Times New Roman"/>
          <w:i/>
        </w:rPr>
      </w:pPr>
      <w:r w:rsidRPr="00295877">
        <w:rPr>
          <w:rFonts w:ascii="Times New Roman" w:hAnsi="Times New Roman" w:cs="Times New Roman"/>
          <w:i/>
        </w:rPr>
        <w:t xml:space="preserve">Guidelines </w:t>
      </w:r>
      <w:r w:rsidR="001C4708" w:rsidRPr="00295877">
        <w:rPr>
          <w:rFonts w:ascii="Times New Roman" w:hAnsi="Times New Roman" w:cs="Times New Roman"/>
          <w:i/>
        </w:rPr>
        <w:t>for External (Non-BCH) Speakers</w:t>
      </w:r>
      <w:r w:rsidRPr="00295877">
        <w:rPr>
          <w:rFonts w:ascii="Times New Roman" w:hAnsi="Times New Roman" w:cs="Times New Roman"/>
          <w:i/>
        </w:rPr>
        <w:t>:</w:t>
      </w:r>
    </w:p>
    <w:p w:rsidR="000A7829" w:rsidRPr="00295877" w:rsidRDefault="000A7829" w:rsidP="000A7829">
      <w:pPr>
        <w:pStyle w:val="ListParagraph"/>
        <w:numPr>
          <w:ilvl w:val="0"/>
          <w:numId w:val="3"/>
        </w:numPr>
        <w:rPr>
          <w:rFonts w:ascii="Times New Roman" w:hAnsi="Times New Roman" w:cs="Times New Roman"/>
        </w:rPr>
      </w:pPr>
      <w:r w:rsidRPr="00295877">
        <w:rPr>
          <w:rFonts w:ascii="Times New Roman" w:hAnsi="Times New Roman" w:cs="Times New Roman"/>
        </w:rPr>
        <w:t xml:space="preserve">For budgeting purposes, the rate structure below provides a potential range of acceptable honoraria that is informed by a survey of 36 medical schools conducted on behalf of the Alliance for Continuing Medical Education (ACME). </w:t>
      </w:r>
    </w:p>
    <w:p w:rsidR="001C4708" w:rsidRPr="00295877" w:rsidRDefault="001C4708" w:rsidP="001C4708">
      <w:pPr>
        <w:pStyle w:val="ListParagraph"/>
        <w:rPr>
          <w:rFonts w:ascii="Times New Roman" w:hAnsi="Times New Roman" w:cs="Times New Roman"/>
        </w:rPr>
      </w:pPr>
    </w:p>
    <w:tbl>
      <w:tblPr>
        <w:tblStyle w:val="TableGrid"/>
        <w:tblW w:w="9450" w:type="dxa"/>
        <w:tblInd w:w="198" w:type="dxa"/>
        <w:tblLook w:val="0000" w:firstRow="0" w:lastRow="0" w:firstColumn="0" w:lastColumn="0" w:noHBand="0" w:noVBand="0"/>
      </w:tblPr>
      <w:tblGrid>
        <w:gridCol w:w="4950"/>
        <w:gridCol w:w="4500"/>
      </w:tblGrid>
      <w:tr w:rsidR="001C4708" w:rsidRPr="00295877" w:rsidTr="00892FAD">
        <w:trPr>
          <w:trHeight w:val="210"/>
        </w:trPr>
        <w:tc>
          <w:tcPr>
            <w:tcW w:w="9450" w:type="dxa"/>
            <w:gridSpan w:val="2"/>
            <w:shd w:val="clear" w:color="auto" w:fill="BFBFBF" w:themeFill="background1" w:themeFillShade="BF"/>
          </w:tcPr>
          <w:p w:rsidR="001C4708" w:rsidRPr="00295877" w:rsidRDefault="001C4708" w:rsidP="001C4708">
            <w:pPr>
              <w:pStyle w:val="ListParagraph"/>
              <w:ind w:left="0"/>
              <w:jc w:val="center"/>
              <w:rPr>
                <w:rFonts w:ascii="Times New Roman" w:hAnsi="Times New Roman" w:cs="Times New Roman"/>
                <w:b/>
              </w:rPr>
            </w:pPr>
            <w:r w:rsidRPr="00295877">
              <w:rPr>
                <w:rFonts w:ascii="Times New Roman" w:hAnsi="Times New Roman" w:cs="Times New Roman"/>
                <w:b/>
              </w:rPr>
              <w:t>Live In-Person Activities Faculty Honorarium Range</w:t>
            </w:r>
          </w:p>
          <w:p w:rsidR="001C4708" w:rsidRPr="00295877" w:rsidRDefault="001C4708" w:rsidP="001C4708">
            <w:pPr>
              <w:pStyle w:val="ListParagraph"/>
              <w:ind w:left="0"/>
              <w:jc w:val="center"/>
              <w:rPr>
                <w:rFonts w:ascii="Times New Roman" w:hAnsi="Times New Roman" w:cs="Times New Roman"/>
              </w:rPr>
            </w:pPr>
            <w:r w:rsidRPr="00295877">
              <w:rPr>
                <w:rFonts w:ascii="Times New Roman" w:hAnsi="Times New Roman" w:cs="Times New Roman"/>
              </w:rPr>
              <w:t>(e.g. traditional live courses, community programs, clinical preceptorships)</w:t>
            </w:r>
          </w:p>
        </w:tc>
      </w:tr>
      <w:tr w:rsidR="000A7829" w:rsidRPr="00295877" w:rsidTr="00892FAD">
        <w:tblPrEx>
          <w:tblLook w:val="04A0" w:firstRow="1" w:lastRow="0" w:firstColumn="1" w:lastColumn="0" w:noHBand="0" w:noVBand="1"/>
        </w:tblPrEx>
        <w:tc>
          <w:tcPr>
            <w:tcW w:w="4950" w:type="dxa"/>
            <w:shd w:val="clear" w:color="auto" w:fill="D9D9D9" w:themeFill="background1" w:themeFillShade="D9"/>
          </w:tcPr>
          <w:p w:rsidR="000A7829" w:rsidRPr="00295877" w:rsidRDefault="001C4708" w:rsidP="001C4708">
            <w:pPr>
              <w:pStyle w:val="ListParagraph"/>
              <w:ind w:left="0"/>
              <w:jc w:val="center"/>
              <w:rPr>
                <w:rFonts w:ascii="Times New Roman" w:hAnsi="Times New Roman" w:cs="Times New Roman"/>
                <w:b/>
              </w:rPr>
            </w:pPr>
            <w:r w:rsidRPr="00295877">
              <w:rPr>
                <w:rFonts w:ascii="Times New Roman" w:hAnsi="Times New Roman" w:cs="Times New Roman"/>
                <w:b/>
              </w:rPr>
              <w:t>Activity Type</w:t>
            </w:r>
          </w:p>
        </w:tc>
        <w:tc>
          <w:tcPr>
            <w:tcW w:w="4500" w:type="dxa"/>
            <w:shd w:val="clear" w:color="auto" w:fill="D9D9D9" w:themeFill="background1" w:themeFillShade="D9"/>
          </w:tcPr>
          <w:p w:rsidR="000A7829" w:rsidRPr="00295877" w:rsidRDefault="001C4708" w:rsidP="001C4708">
            <w:pPr>
              <w:pStyle w:val="ListParagraph"/>
              <w:ind w:left="0"/>
              <w:jc w:val="center"/>
              <w:rPr>
                <w:rFonts w:ascii="Times New Roman" w:hAnsi="Times New Roman" w:cs="Times New Roman"/>
                <w:b/>
                <w:u w:val="single"/>
              </w:rPr>
            </w:pPr>
            <w:r w:rsidRPr="00295877">
              <w:rPr>
                <w:rFonts w:ascii="Times New Roman" w:hAnsi="Times New Roman" w:cs="Times New Roman"/>
                <w:b/>
                <w:u w:val="single"/>
              </w:rPr>
              <w:t>Guidelines</w:t>
            </w:r>
          </w:p>
        </w:tc>
      </w:tr>
      <w:tr w:rsidR="000A7829" w:rsidRPr="00295877" w:rsidTr="001C4708">
        <w:tblPrEx>
          <w:tblLook w:val="04A0" w:firstRow="1" w:lastRow="0" w:firstColumn="1" w:lastColumn="0" w:noHBand="0" w:noVBand="1"/>
        </w:tblPrEx>
        <w:tc>
          <w:tcPr>
            <w:tcW w:w="4950" w:type="dxa"/>
          </w:tcPr>
          <w:p w:rsidR="000A7829" w:rsidRPr="00295877" w:rsidRDefault="001C4708" w:rsidP="001C4708">
            <w:pPr>
              <w:pStyle w:val="ListParagraph"/>
              <w:ind w:left="0"/>
              <w:rPr>
                <w:rFonts w:ascii="Times New Roman" w:hAnsi="Times New Roman" w:cs="Times New Roman"/>
              </w:rPr>
            </w:pPr>
            <w:r w:rsidRPr="00295877">
              <w:rPr>
                <w:rFonts w:ascii="Times New Roman" w:hAnsi="Times New Roman" w:cs="Times New Roman"/>
              </w:rPr>
              <w:t>Local, State-wide or Regional Audience (Presentation)</w:t>
            </w:r>
          </w:p>
        </w:tc>
        <w:tc>
          <w:tcPr>
            <w:tcW w:w="4500" w:type="dxa"/>
          </w:tcPr>
          <w:p w:rsidR="000A7829" w:rsidRPr="00295877" w:rsidRDefault="001C4708" w:rsidP="001C4708">
            <w:pPr>
              <w:pStyle w:val="ListParagraph"/>
              <w:ind w:left="0"/>
              <w:rPr>
                <w:rFonts w:ascii="Times New Roman" w:hAnsi="Times New Roman" w:cs="Times New Roman"/>
              </w:rPr>
            </w:pPr>
            <w:r w:rsidRPr="00295877">
              <w:rPr>
                <w:rFonts w:ascii="Times New Roman" w:hAnsi="Times New Roman" w:cs="Times New Roman"/>
              </w:rPr>
              <w:t>Up to $2,000</w:t>
            </w:r>
          </w:p>
        </w:tc>
      </w:tr>
      <w:tr w:rsidR="000A7829" w:rsidRPr="00295877" w:rsidTr="001C4708">
        <w:tblPrEx>
          <w:tblLook w:val="04A0" w:firstRow="1" w:lastRow="0" w:firstColumn="1" w:lastColumn="0" w:noHBand="0" w:noVBand="1"/>
        </w:tblPrEx>
        <w:tc>
          <w:tcPr>
            <w:tcW w:w="4950" w:type="dxa"/>
          </w:tcPr>
          <w:p w:rsidR="000A7829" w:rsidRPr="00295877" w:rsidRDefault="001C4708" w:rsidP="001C4708">
            <w:pPr>
              <w:pStyle w:val="ListParagraph"/>
              <w:ind w:left="0"/>
              <w:rPr>
                <w:rFonts w:ascii="Times New Roman" w:hAnsi="Times New Roman" w:cs="Times New Roman"/>
              </w:rPr>
            </w:pPr>
            <w:r w:rsidRPr="00295877">
              <w:rPr>
                <w:rFonts w:ascii="Times New Roman" w:hAnsi="Times New Roman" w:cs="Times New Roman"/>
              </w:rPr>
              <w:t>National or International Audience (Presentation)</w:t>
            </w:r>
          </w:p>
        </w:tc>
        <w:tc>
          <w:tcPr>
            <w:tcW w:w="4500" w:type="dxa"/>
          </w:tcPr>
          <w:p w:rsidR="000A7829" w:rsidRPr="00295877" w:rsidRDefault="001C4708" w:rsidP="001C4708">
            <w:pPr>
              <w:pStyle w:val="ListParagraph"/>
              <w:ind w:left="0"/>
              <w:rPr>
                <w:rFonts w:ascii="Times New Roman" w:hAnsi="Times New Roman" w:cs="Times New Roman"/>
              </w:rPr>
            </w:pPr>
            <w:r w:rsidRPr="00295877">
              <w:rPr>
                <w:rFonts w:ascii="Times New Roman" w:hAnsi="Times New Roman" w:cs="Times New Roman"/>
              </w:rPr>
              <w:t>Up to $2,500</w:t>
            </w:r>
          </w:p>
        </w:tc>
      </w:tr>
      <w:tr w:rsidR="001C4708" w:rsidRPr="00295877" w:rsidTr="001C4708">
        <w:tblPrEx>
          <w:tblLook w:val="04A0" w:firstRow="1" w:lastRow="0" w:firstColumn="1" w:lastColumn="0" w:noHBand="0" w:noVBand="1"/>
        </w:tblPrEx>
        <w:tc>
          <w:tcPr>
            <w:tcW w:w="4950" w:type="dxa"/>
          </w:tcPr>
          <w:p w:rsidR="001C4708" w:rsidRPr="00295877" w:rsidRDefault="001C4708" w:rsidP="001C4708">
            <w:pPr>
              <w:pStyle w:val="ListParagraph"/>
              <w:ind w:left="0"/>
              <w:rPr>
                <w:rFonts w:ascii="Times New Roman" w:hAnsi="Times New Roman" w:cs="Times New Roman"/>
              </w:rPr>
            </w:pPr>
            <w:r w:rsidRPr="00295877">
              <w:rPr>
                <w:rFonts w:ascii="Times New Roman" w:hAnsi="Times New Roman" w:cs="Times New Roman"/>
              </w:rPr>
              <w:t>National or International Audience (Keynote Address)</w:t>
            </w:r>
          </w:p>
        </w:tc>
        <w:tc>
          <w:tcPr>
            <w:tcW w:w="4500" w:type="dxa"/>
          </w:tcPr>
          <w:p w:rsidR="001C4708" w:rsidRPr="00295877" w:rsidRDefault="001C4708" w:rsidP="001C4708">
            <w:pPr>
              <w:pStyle w:val="ListParagraph"/>
              <w:ind w:left="0"/>
              <w:rPr>
                <w:rFonts w:ascii="Times New Roman" w:hAnsi="Times New Roman" w:cs="Times New Roman"/>
              </w:rPr>
            </w:pPr>
            <w:r w:rsidRPr="00295877">
              <w:rPr>
                <w:rFonts w:ascii="Times New Roman" w:hAnsi="Times New Roman" w:cs="Times New Roman"/>
              </w:rPr>
              <w:t>Up to $3,000</w:t>
            </w:r>
          </w:p>
        </w:tc>
      </w:tr>
    </w:tbl>
    <w:p w:rsidR="000A7829" w:rsidRPr="00295877" w:rsidRDefault="000A7829" w:rsidP="001C4708">
      <w:pPr>
        <w:rPr>
          <w:rFonts w:ascii="Times New Roman" w:hAnsi="Times New Roman" w:cs="Times New Roman"/>
        </w:rPr>
      </w:pPr>
    </w:p>
    <w:p w:rsidR="001C4708" w:rsidRPr="00295877" w:rsidRDefault="001C4708" w:rsidP="001C4708">
      <w:pPr>
        <w:pStyle w:val="ListParagraph"/>
        <w:numPr>
          <w:ilvl w:val="0"/>
          <w:numId w:val="3"/>
        </w:numPr>
        <w:rPr>
          <w:rFonts w:ascii="Times New Roman" w:hAnsi="Times New Roman" w:cs="Times New Roman"/>
        </w:rPr>
      </w:pPr>
      <w:r w:rsidRPr="00295877">
        <w:rPr>
          <w:rFonts w:ascii="Times New Roman" w:hAnsi="Times New Roman" w:cs="Times New Roman"/>
        </w:rPr>
        <w:t xml:space="preserve">Honoraria that exceed the maximum listed above should be fully justified in the budget. The </w:t>
      </w:r>
      <w:r w:rsidR="00892FAD">
        <w:rPr>
          <w:rFonts w:ascii="Times New Roman" w:hAnsi="Times New Roman" w:cs="Times New Roman"/>
        </w:rPr>
        <w:t>CMED</w:t>
      </w:r>
      <w:r w:rsidRPr="00295877">
        <w:rPr>
          <w:rFonts w:ascii="Times New Roman" w:hAnsi="Times New Roman" w:cs="Times New Roman"/>
        </w:rPr>
        <w:t xml:space="preserve"> will review extraordinary rate requests for possible approval, and may seek counsel from the BCH Standing Committee on Continuing Medical Education. </w:t>
      </w:r>
    </w:p>
    <w:p w:rsidR="001C4708" w:rsidRPr="00295877" w:rsidRDefault="001C4708" w:rsidP="001C4708">
      <w:pPr>
        <w:rPr>
          <w:rFonts w:ascii="Times New Roman" w:hAnsi="Times New Roman" w:cs="Times New Roman"/>
          <w:i/>
        </w:rPr>
      </w:pPr>
      <w:r w:rsidRPr="00295877">
        <w:rPr>
          <w:rFonts w:ascii="Times New Roman" w:hAnsi="Times New Roman" w:cs="Times New Roman"/>
          <w:i/>
        </w:rPr>
        <w:t xml:space="preserve">Guidelines for </w:t>
      </w:r>
      <w:r w:rsidR="00326BC6">
        <w:rPr>
          <w:rFonts w:ascii="Times New Roman" w:hAnsi="Times New Roman" w:cs="Times New Roman"/>
          <w:i/>
        </w:rPr>
        <w:t>Boston Children’s</w:t>
      </w:r>
      <w:r w:rsidRPr="00295877">
        <w:rPr>
          <w:rFonts w:ascii="Times New Roman" w:hAnsi="Times New Roman" w:cs="Times New Roman"/>
          <w:i/>
        </w:rPr>
        <w:t xml:space="preserve"> Speakers in Traditional Live Courses:</w:t>
      </w:r>
    </w:p>
    <w:p w:rsidR="001C4708" w:rsidRPr="00295877" w:rsidRDefault="001C4708" w:rsidP="001C4708">
      <w:pPr>
        <w:pStyle w:val="ListParagraph"/>
        <w:numPr>
          <w:ilvl w:val="0"/>
          <w:numId w:val="3"/>
        </w:numPr>
        <w:rPr>
          <w:rFonts w:ascii="Times New Roman" w:hAnsi="Times New Roman" w:cs="Times New Roman"/>
        </w:rPr>
      </w:pPr>
      <w:r w:rsidRPr="00295877">
        <w:rPr>
          <w:rFonts w:ascii="Times New Roman" w:hAnsi="Times New Roman" w:cs="Times New Roman"/>
        </w:rPr>
        <w:t xml:space="preserve">As part of a faculty member’s key responsibilities associated with their academic appointment, it is customary for </w:t>
      </w:r>
      <w:r w:rsidR="00082128">
        <w:rPr>
          <w:rFonts w:ascii="Times New Roman" w:hAnsi="Times New Roman" w:cs="Times New Roman"/>
        </w:rPr>
        <w:t>Boston Children’s</w:t>
      </w:r>
      <w:r w:rsidRPr="00295877">
        <w:rPr>
          <w:rFonts w:ascii="Times New Roman" w:hAnsi="Times New Roman" w:cs="Times New Roman"/>
        </w:rPr>
        <w:t xml:space="preserve"> faculty to participate in CME activities without additional remuneration. Thus, Course Directors and their Department Chairs may determine that no honoraria should be paid to </w:t>
      </w:r>
      <w:r w:rsidR="00082128">
        <w:rPr>
          <w:rFonts w:ascii="Times New Roman" w:hAnsi="Times New Roman" w:cs="Times New Roman"/>
        </w:rPr>
        <w:t>Boston Children’s</w:t>
      </w:r>
      <w:r w:rsidRPr="00295877">
        <w:rPr>
          <w:rFonts w:ascii="Times New Roman" w:hAnsi="Times New Roman" w:cs="Times New Roman"/>
        </w:rPr>
        <w:t xml:space="preserve"> faculty who speak in their courses. This policy, however</w:t>
      </w:r>
      <w:r w:rsidR="00892FAD">
        <w:rPr>
          <w:rFonts w:ascii="Times New Roman" w:hAnsi="Times New Roman" w:cs="Times New Roman"/>
        </w:rPr>
        <w:t>,</w:t>
      </w:r>
      <w:r w:rsidRPr="00295877">
        <w:rPr>
          <w:rFonts w:ascii="Times New Roman" w:hAnsi="Times New Roman" w:cs="Times New Roman"/>
        </w:rPr>
        <w:t xml:space="preserve"> does not preclude such payments, and it is recommended that honoraria levels not exceed $500 per engagement for these individuals.</w:t>
      </w:r>
    </w:p>
    <w:p w:rsidR="001C4708" w:rsidRPr="00295877" w:rsidRDefault="001C4708" w:rsidP="001C4708">
      <w:pPr>
        <w:rPr>
          <w:rFonts w:ascii="Times New Roman" w:hAnsi="Times New Roman" w:cs="Times New Roman"/>
          <w:i/>
        </w:rPr>
      </w:pPr>
      <w:r w:rsidRPr="00295877">
        <w:rPr>
          <w:rFonts w:ascii="Times New Roman" w:hAnsi="Times New Roman" w:cs="Times New Roman"/>
          <w:i/>
        </w:rPr>
        <w:t>Guidelines for Course Directors:</w:t>
      </w:r>
    </w:p>
    <w:p w:rsidR="00C33467" w:rsidRPr="00295877" w:rsidRDefault="001C4708" w:rsidP="00C33467">
      <w:pPr>
        <w:pStyle w:val="ListParagraph"/>
        <w:numPr>
          <w:ilvl w:val="0"/>
          <w:numId w:val="3"/>
        </w:numPr>
        <w:rPr>
          <w:rFonts w:ascii="Times New Roman" w:hAnsi="Times New Roman" w:cs="Times New Roman"/>
        </w:rPr>
      </w:pPr>
      <w:r w:rsidRPr="00295877">
        <w:rPr>
          <w:rFonts w:ascii="Times New Roman" w:hAnsi="Times New Roman" w:cs="Times New Roman"/>
        </w:rPr>
        <w:t xml:space="preserve">The decision to bonus Course Directors with an additional honorarium is at the discretion of the Department Chair, though for many departments, this is not a customary practice. In order for </w:t>
      </w:r>
      <w:r w:rsidR="00295877" w:rsidRPr="00295877">
        <w:rPr>
          <w:rFonts w:ascii="Times New Roman" w:hAnsi="Times New Roman" w:cs="Times New Roman"/>
        </w:rPr>
        <w:t>CMED</w:t>
      </w:r>
      <w:r w:rsidRPr="00295877">
        <w:rPr>
          <w:rFonts w:ascii="Times New Roman" w:hAnsi="Times New Roman" w:cs="Times New Roman"/>
        </w:rPr>
        <w:t xml:space="preserve"> to process such </w:t>
      </w:r>
      <w:r w:rsidR="00C33467" w:rsidRPr="00295877">
        <w:rPr>
          <w:rFonts w:ascii="Times New Roman" w:hAnsi="Times New Roman" w:cs="Times New Roman"/>
        </w:rPr>
        <w:t xml:space="preserve">bonuses to Course Directors, </w:t>
      </w:r>
      <w:r w:rsidR="00295877" w:rsidRPr="00295877">
        <w:rPr>
          <w:rFonts w:ascii="Times New Roman" w:hAnsi="Times New Roman" w:cs="Times New Roman"/>
        </w:rPr>
        <w:t>CMED</w:t>
      </w:r>
      <w:r w:rsidR="00C33467" w:rsidRPr="00295877">
        <w:rPr>
          <w:rFonts w:ascii="Times New Roman" w:hAnsi="Times New Roman" w:cs="Times New Roman"/>
        </w:rPr>
        <w:t xml:space="preserve"> must have written authorization from the Department Chair.</w:t>
      </w:r>
    </w:p>
    <w:p w:rsidR="00C33467" w:rsidRPr="00295877" w:rsidRDefault="00C33467" w:rsidP="00C33467">
      <w:pPr>
        <w:rPr>
          <w:rFonts w:ascii="Times New Roman" w:hAnsi="Times New Roman" w:cs="Times New Roman"/>
          <w:i/>
        </w:rPr>
      </w:pPr>
      <w:r w:rsidRPr="00295877">
        <w:rPr>
          <w:rFonts w:ascii="Times New Roman" w:hAnsi="Times New Roman" w:cs="Times New Roman"/>
          <w:i/>
        </w:rPr>
        <w:t>Guidelines for Distance Learning Activities:</w:t>
      </w:r>
    </w:p>
    <w:p w:rsidR="00C33467" w:rsidRPr="00295877" w:rsidRDefault="00C33467" w:rsidP="00C33467">
      <w:pPr>
        <w:pStyle w:val="ListParagraph"/>
        <w:numPr>
          <w:ilvl w:val="0"/>
          <w:numId w:val="3"/>
        </w:numPr>
        <w:rPr>
          <w:rFonts w:ascii="Times New Roman" w:hAnsi="Times New Roman" w:cs="Times New Roman"/>
        </w:rPr>
      </w:pPr>
      <w:r w:rsidRPr="00295877">
        <w:rPr>
          <w:rFonts w:ascii="Times New Roman" w:hAnsi="Times New Roman" w:cs="Times New Roman"/>
        </w:rPr>
        <w:t xml:space="preserve">Levels of participation in distance learning activities (e.g. live or enduring Internet CME, telephone, CD, DVD, MP3/MP4, print monographs, etc.) can be highly variable. Consequently, honoraria for participating in all of these types of continuing education activities will be set by </w:t>
      </w:r>
      <w:r w:rsidR="00295877" w:rsidRPr="00295877">
        <w:rPr>
          <w:rFonts w:ascii="Times New Roman" w:hAnsi="Times New Roman" w:cs="Times New Roman"/>
        </w:rPr>
        <w:t>CMED</w:t>
      </w:r>
      <w:r w:rsidRPr="00295877">
        <w:rPr>
          <w:rFonts w:ascii="Times New Roman" w:hAnsi="Times New Roman" w:cs="Times New Roman"/>
        </w:rPr>
        <w:t xml:space="preserve"> based on the factors listed above with specific attention to the amount of effort entailed. </w:t>
      </w:r>
    </w:p>
    <w:p w:rsidR="00892FAD" w:rsidRDefault="00892FAD" w:rsidP="00C33467">
      <w:pPr>
        <w:rPr>
          <w:rFonts w:ascii="Times New Roman" w:hAnsi="Times New Roman" w:cs="Times New Roman"/>
          <w:b/>
          <w:u w:val="single"/>
        </w:rPr>
      </w:pPr>
    </w:p>
    <w:p w:rsidR="00C33467" w:rsidRPr="00295877" w:rsidRDefault="00C33467" w:rsidP="00C33467">
      <w:pPr>
        <w:rPr>
          <w:rFonts w:ascii="Times New Roman" w:hAnsi="Times New Roman" w:cs="Times New Roman"/>
          <w:b/>
          <w:u w:val="single"/>
        </w:rPr>
      </w:pPr>
      <w:r w:rsidRPr="00295877">
        <w:rPr>
          <w:rFonts w:ascii="Times New Roman" w:hAnsi="Times New Roman" w:cs="Times New Roman"/>
          <w:b/>
          <w:u w:val="single"/>
        </w:rPr>
        <w:lastRenderedPageBreak/>
        <w:t>Honoraria Payment Procedures</w:t>
      </w:r>
    </w:p>
    <w:p w:rsidR="00C33467" w:rsidRPr="00295877" w:rsidRDefault="00C33467" w:rsidP="00C33467">
      <w:pPr>
        <w:rPr>
          <w:rFonts w:ascii="Times New Roman" w:hAnsi="Times New Roman" w:cs="Times New Roman"/>
        </w:rPr>
      </w:pPr>
      <w:r w:rsidRPr="00295877">
        <w:rPr>
          <w:rFonts w:ascii="Times New Roman" w:hAnsi="Times New Roman" w:cs="Times New Roman"/>
        </w:rPr>
        <w:t xml:space="preserve">Payment of honoraria may be made by </w:t>
      </w:r>
      <w:r w:rsidR="00326BC6">
        <w:rPr>
          <w:rFonts w:ascii="Times New Roman" w:hAnsi="Times New Roman" w:cs="Times New Roman"/>
        </w:rPr>
        <w:t>Boston Children’s Hospital</w:t>
      </w:r>
      <w:r w:rsidRPr="00295877">
        <w:rPr>
          <w:rFonts w:ascii="Times New Roman" w:hAnsi="Times New Roman" w:cs="Times New Roman"/>
        </w:rPr>
        <w:t xml:space="preserve">; if commercial support is received for a specific activity, honoraria payments must be </w:t>
      </w:r>
      <w:r w:rsidR="00326BC6">
        <w:rPr>
          <w:rFonts w:ascii="Times New Roman" w:hAnsi="Times New Roman" w:cs="Times New Roman"/>
        </w:rPr>
        <w:t>approved</w:t>
      </w:r>
      <w:r w:rsidRPr="00295877">
        <w:rPr>
          <w:rFonts w:ascii="Times New Roman" w:hAnsi="Times New Roman" w:cs="Times New Roman"/>
        </w:rPr>
        <w:t xml:space="preserve"> by</w:t>
      </w:r>
      <w:r w:rsidR="00892FAD">
        <w:rPr>
          <w:rFonts w:ascii="Times New Roman" w:hAnsi="Times New Roman" w:cs="Times New Roman"/>
        </w:rPr>
        <w:t xml:space="preserve"> </w:t>
      </w:r>
      <w:r w:rsidR="00295877" w:rsidRPr="00295877">
        <w:rPr>
          <w:rFonts w:ascii="Times New Roman" w:hAnsi="Times New Roman" w:cs="Times New Roman"/>
        </w:rPr>
        <w:t>CMED</w:t>
      </w:r>
      <w:r w:rsidRPr="00295877">
        <w:rPr>
          <w:rFonts w:ascii="Times New Roman" w:hAnsi="Times New Roman" w:cs="Times New Roman"/>
        </w:rPr>
        <w:t>. Further, if faculty members wish to participate as learners in the remainder of an educational event after their teaching assignment, reimbursement may only be paid for their teacher or author role. ³</w:t>
      </w:r>
    </w:p>
    <w:p w:rsidR="00C33467" w:rsidRPr="00295877" w:rsidRDefault="00C33467" w:rsidP="00C33467">
      <w:pPr>
        <w:rPr>
          <w:rFonts w:ascii="Times New Roman" w:hAnsi="Times New Roman" w:cs="Times New Roman"/>
        </w:rPr>
      </w:pPr>
      <w:r w:rsidRPr="00295877">
        <w:rPr>
          <w:rFonts w:ascii="Times New Roman" w:hAnsi="Times New Roman" w:cs="Times New Roman"/>
        </w:rPr>
        <w:t>The following process will be followed for payment of honoraria</w:t>
      </w:r>
      <w:r w:rsidR="006E1C1C">
        <w:rPr>
          <w:rFonts w:ascii="Times New Roman" w:hAnsi="Times New Roman" w:cs="Times New Roman"/>
        </w:rPr>
        <w:t>*</w:t>
      </w:r>
      <w:r w:rsidRPr="00295877">
        <w:rPr>
          <w:rFonts w:ascii="Times New Roman" w:hAnsi="Times New Roman" w:cs="Times New Roman"/>
        </w:rPr>
        <w:t>:</w:t>
      </w:r>
    </w:p>
    <w:p w:rsidR="00C33467" w:rsidRPr="00295877" w:rsidRDefault="00C33467" w:rsidP="00C33467">
      <w:pPr>
        <w:pStyle w:val="ListParagraph"/>
        <w:numPr>
          <w:ilvl w:val="0"/>
          <w:numId w:val="4"/>
        </w:numPr>
        <w:rPr>
          <w:rFonts w:ascii="Times New Roman" w:hAnsi="Times New Roman" w:cs="Times New Roman"/>
        </w:rPr>
      </w:pPr>
      <w:r w:rsidRPr="00295877">
        <w:rPr>
          <w:rFonts w:ascii="Times New Roman" w:hAnsi="Times New Roman" w:cs="Times New Roman"/>
        </w:rPr>
        <w:t xml:space="preserve">During the activity proposal submission, the Course Director will complete the budget included in the Activity Proposal and provide honoraria payments detail by individual. </w:t>
      </w:r>
    </w:p>
    <w:p w:rsidR="00082128" w:rsidRDefault="00C33467" w:rsidP="00C33467">
      <w:pPr>
        <w:pStyle w:val="ListParagraph"/>
        <w:numPr>
          <w:ilvl w:val="0"/>
          <w:numId w:val="4"/>
        </w:numPr>
        <w:rPr>
          <w:rFonts w:ascii="Times New Roman" w:hAnsi="Times New Roman" w:cs="Times New Roman"/>
        </w:rPr>
      </w:pPr>
      <w:r w:rsidRPr="00082128">
        <w:rPr>
          <w:rFonts w:ascii="Times New Roman" w:hAnsi="Times New Roman" w:cs="Times New Roman"/>
        </w:rPr>
        <w:t>The budget will be a</w:t>
      </w:r>
      <w:r w:rsidR="00082128">
        <w:rPr>
          <w:rFonts w:ascii="Times New Roman" w:hAnsi="Times New Roman" w:cs="Times New Roman"/>
        </w:rPr>
        <w:t>pproved by the Department Chair.</w:t>
      </w:r>
    </w:p>
    <w:p w:rsidR="00C33467" w:rsidRPr="00082128" w:rsidRDefault="00C33467" w:rsidP="00C33467">
      <w:pPr>
        <w:pStyle w:val="ListParagraph"/>
        <w:numPr>
          <w:ilvl w:val="0"/>
          <w:numId w:val="4"/>
        </w:numPr>
        <w:rPr>
          <w:rFonts w:ascii="Times New Roman" w:hAnsi="Times New Roman" w:cs="Times New Roman"/>
        </w:rPr>
      </w:pPr>
      <w:r w:rsidRPr="00082128">
        <w:rPr>
          <w:rFonts w:ascii="Times New Roman" w:hAnsi="Times New Roman" w:cs="Times New Roman"/>
        </w:rPr>
        <w:t>After the CME activity has taken place, the Course Director or Course Administrator will submit honoraria payment requests through</w:t>
      </w:r>
      <w:r w:rsidR="00295877" w:rsidRPr="00082128">
        <w:rPr>
          <w:rFonts w:ascii="Times New Roman" w:hAnsi="Times New Roman" w:cs="Times New Roman"/>
        </w:rPr>
        <w:t xml:space="preserve"> CMED</w:t>
      </w:r>
      <w:r w:rsidRPr="00082128">
        <w:rPr>
          <w:rFonts w:ascii="Times New Roman" w:hAnsi="Times New Roman" w:cs="Times New Roman"/>
        </w:rPr>
        <w:t>.</w:t>
      </w:r>
    </w:p>
    <w:p w:rsidR="00C33467" w:rsidRPr="00295877" w:rsidRDefault="00295877" w:rsidP="00C33467">
      <w:pPr>
        <w:pStyle w:val="ListParagraph"/>
        <w:numPr>
          <w:ilvl w:val="0"/>
          <w:numId w:val="4"/>
        </w:numPr>
        <w:rPr>
          <w:rFonts w:ascii="Times New Roman" w:hAnsi="Times New Roman" w:cs="Times New Roman"/>
        </w:rPr>
      </w:pPr>
      <w:r w:rsidRPr="00295877">
        <w:rPr>
          <w:rFonts w:ascii="Times New Roman" w:hAnsi="Times New Roman" w:cs="Times New Roman"/>
        </w:rPr>
        <w:t>CMED</w:t>
      </w:r>
      <w:r w:rsidR="00C33467" w:rsidRPr="00295877">
        <w:rPr>
          <w:rFonts w:ascii="Times New Roman" w:hAnsi="Times New Roman" w:cs="Times New Roman"/>
        </w:rPr>
        <w:t>’s Financial Coordinators will review payment requests and check them against the approved budget.</w:t>
      </w:r>
    </w:p>
    <w:p w:rsidR="00C33467" w:rsidRPr="00295877" w:rsidRDefault="00C33467" w:rsidP="00C33467">
      <w:pPr>
        <w:pStyle w:val="ListParagraph"/>
        <w:numPr>
          <w:ilvl w:val="0"/>
          <w:numId w:val="4"/>
        </w:numPr>
        <w:rPr>
          <w:rFonts w:ascii="Times New Roman" w:hAnsi="Times New Roman" w:cs="Times New Roman"/>
        </w:rPr>
      </w:pPr>
      <w:r w:rsidRPr="00295877">
        <w:rPr>
          <w:rFonts w:ascii="Times New Roman" w:hAnsi="Times New Roman" w:cs="Times New Roman"/>
        </w:rPr>
        <w:t xml:space="preserve">If a request deviated from the approved budget, </w:t>
      </w:r>
      <w:r w:rsidR="00295877" w:rsidRPr="00295877">
        <w:rPr>
          <w:rFonts w:ascii="Times New Roman" w:hAnsi="Times New Roman" w:cs="Times New Roman"/>
        </w:rPr>
        <w:t>CMED</w:t>
      </w:r>
      <w:r w:rsidRPr="00295877">
        <w:rPr>
          <w:rFonts w:ascii="Times New Roman" w:hAnsi="Times New Roman" w:cs="Times New Roman"/>
        </w:rPr>
        <w:t xml:space="preserve"> will request verification form the Course Director or Course Administrator; special approval by the Department Chair will be required for variances over $500 from the total honoraria budget. </w:t>
      </w:r>
    </w:p>
    <w:p w:rsidR="00C33467" w:rsidRPr="00295877" w:rsidRDefault="00C33467" w:rsidP="00C33467">
      <w:pPr>
        <w:pStyle w:val="ListParagraph"/>
        <w:numPr>
          <w:ilvl w:val="0"/>
          <w:numId w:val="4"/>
        </w:numPr>
        <w:rPr>
          <w:rFonts w:ascii="Times New Roman" w:hAnsi="Times New Roman" w:cs="Times New Roman"/>
        </w:rPr>
      </w:pPr>
      <w:r w:rsidRPr="00295877">
        <w:rPr>
          <w:rFonts w:ascii="Times New Roman" w:hAnsi="Times New Roman" w:cs="Times New Roman"/>
        </w:rPr>
        <w:t xml:space="preserve">If a requested rate approved by the Department Chair significantly exceeds suggested guidelines, the </w:t>
      </w:r>
      <w:r w:rsidR="00326BC6">
        <w:rPr>
          <w:rFonts w:ascii="Times New Roman" w:hAnsi="Times New Roman" w:cs="Times New Roman"/>
        </w:rPr>
        <w:t>Medical Director</w:t>
      </w:r>
      <w:r w:rsidRPr="00295877">
        <w:rPr>
          <w:rFonts w:ascii="Times New Roman" w:hAnsi="Times New Roman" w:cs="Times New Roman"/>
        </w:rPr>
        <w:t xml:space="preserve"> for Continuing Education will provide further review.</w:t>
      </w:r>
    </w:p>
    <w:p w:rsidR="00C33467" w:rsidRDefault="00295877" w:rsidP="00C33467">
      <w:pPr>
        <w:pStyle w:val="ListParagraph"/>
        <w:numPr>
          <w:ilvl w:val="0"/>
          <w:numId w:val="4"/>
        </w:numPr>
        <w:rPr>
          <w:rFonts w:ascii="Times New Roman" w:hAnsi="Times New Roman" w:cs="Times New Roman"/>
        </w:rPr>
      </w:pPr>
      <w:r w:rsidRPr="00295877">
        <w:rPr>
          <w:rFonts w:ascii="Times New Roman" w:hAnsi="Times New Roman" w:cs="Times New Roman"/>
        </w:rPr>
        <w:t>CMED</w:t>
      </w:r>
      <w:r w:rsidR="00C33467" w:rsidRPr="00295877">
        <w:rPr>
          <w:rFonts w:ascii="Times New Roman" w:hAnsi="Times New Roman" w:cs="Times New Roman"/>
        </w:rPr>
        <w:t xml:space="preserve"> will </w:t>
      </w:r>
      <w:r w:rsidR="00326BC6">
        <w:rPr>
          <w:rFonts w:ascii="Times New Roman" w:hAnsi="Times New Roman" w:cs="Times New Roman"/>
        </w:rPr>
        <w:t>approve</w:t>
      </w:r>
      <w:r w:rsidR="00C33467" w:rsidRPr="00295877">
        <w:rPr>
          <w:rFonts w:ascii="Times New Roman" w:hAnsi="Times New Roman" w:cs="Times New Roman"/>
        </w:rPr>
        <w:t xml:space="preserve"> </w:t>
      </w:r>
      <w:r w:rsidR="00326BC6">
        <w:rPr>
          <w:rFonts w:ascii="Times New Roman" w:hAnsi="Times New Roman" w:cs="Times New Roman"/>
        </w:rPr>
        <w:t>honoraria requests for payment and then the Department can work with Finance for payment.</w:t>
      </w:r>
    </w:p>
    <w:p w:rsidR="00326BC6" w:rsidRDefault="00326BC6" w:rsidP="00326BC6">
      <w:pPr>
        <w:pStyle w:val="ListParagraph"/>
        <w:numPr>
          <w:ilvl w:val="0"/>
          <w:numId w:val="4"/>
        </w:numPr>
        <w:rPr>
          <w:rFonts w:ascii="Times New Roman" w:hAnsi="Times New Roman" w:cs="Times New Roman"/>
        </w:rPr>
      </w:pPr>
      <w:r>
        <w:rPr>
          <w:rFonts w:ascii="Times New Roman" w:hAnsi="Times New Roman" w:cs="Times New Roman"/>
        </w:rPr>
        <w:t xml:space="preserve">Finance honorarium policy and forms can be found here - </w:t>
      </w:r>
      <w:hyperlink r:id="rId9" w:anchor="Q33" w:history="1">
        <w:r w:rsidRPr="0042702B">
          <w:rPr>
            <w:rStyle w:val="Hyperlink"/>
            <w:rFonts w:ascii="Times New Roman" w:hAnsi="Times New Roman" w:cs="Times New Roman"/>
          </w:rPr>
          <w:t>http://web2.tch.harvard.edu/finance/mainpageS2601P70.html#Q33</w:t>
        </w:r>
      </w:hyperlink>
    </w:p>
    <w:p w:rsidR="00326BC6" w:rsidRPr="00295877" w:rsidRDefault="00326BC6" w:rsidP="00326BC6">
      <w:pPr>
        <w:pStyle w:val="ListParagraph"/>
        <w:rPr>
          <w:rFonts w:ascii="Times New Roman" w:hAnsi="Times New Roman" w:cs="Times New Roman"/>
        </w:rPr>
      </w:pPr>
    </w:p>
    <w:p w:rsidR="00C33467" w:rsidRPr="00295877" w:rsidRDefault="00C33467" w:rsidP="00C33467">
      <w:pPr>
        <w:rPr>
          <w:rFonts w:ascii="Times New Roman" w:hAnsi="Times New Roman" w:cs="Times New Roman"/>
          <w:b/>
          <w:u w:val="single"/>
        </w:rPr>
      </w:pPr>
      <w:r w:rsidRPr="00295877">
        <w:rPr>
          <w:rFonts w:ascii="Times New Roman" w:hAnsi="Times New Roman" w:cs="Times New Roman"/>
          <w:b/>
          <w:u w:val="single"/>
        </w:rPr>
        <w:t>Other Support for Academic Planners, Faculty, and Authors</w:t>
      </w:r>
    </w:p>
    <w:p w:rsidR="00C33467" w:rsidRPr="00295877" w:rsidRDefault="00C33467" w:rsidP="00C33467">
      <w:pPr>
        <w:rPr>
          <w:rFonts w:ascii="Times New Roman" w:hAnsi="Times New Roman" w:cs="Times New Roman"/>
        </w:rPr>
      </w:pPr>
      <w:r w:rsidRPr="00295877">
        <w:rPr>
          <w:rFonts w:ascii="Times New Roman" w:hAnsi="Times New Roman" w:cs="Times New Roman"/>
        </w:rPr>
        <w:t xml:space="preserve">Travel-related expenses, hotel accommodations, and other activity- related </w:t>
      </w:r>
      <w:r w:rsidR="00295877" w:rsidRPr="00295877">
        <w:rPr>
          <w:rFonts w:ascii="Times New Roman" w:hAnsi="Times New Roman" w:cs="Times New Roman"/>
        </w:rPr>
        <w:t xml:space="preserve">expenses for academic planners, faculty and authors are also supported by tuition revenue and commercial support. Such expenses must be paid in accordance with the </w:t>
      </w:r>
      <w:r w:rsidR="00295877" w:rsidRPr="00295877">
        <w:rPr>
          <w:rFonts w:ascii="Times New Roman" w:hAnsi="Times New Roman" w:cs="Times New Roman"/>
          <w:b/>
          <w:i/>
          <w:color w:val="548DD4" w:themeColor="text2" w:themeTint="99"/>
          <w:u w:val="single"/>
        </w:rPr>
        <w:t xml:space="preserve">Boston Children’s Hospital </w:t>
      </w:r>
      <w:r w:rsidR="00C87833">
        <w:rPr>
          <w:rFonts w:ascii="Times New Roman" w:hAnsi="Times New Roman" w:cs="Times New Roman"/>
          <w:b/>
          <w:i/>
          <w:color w:val="548DD4" w:themeColor="text2" w:themeTint="99"/>
          <w:u w:val="single"/>
        </w:rPr>
        <w:t xml:space="preserve">Travel </w:t>
      </w:r>
      <w:r w:rsidR="00295877" w:rsidRPr="00295877">
        <w:rPr>
          <w:rFonts w:ascii="Times New Roman" w:hAnsi="Times New Roman" w:cs="Times New Roman"/>
          <w:b/>
          <w:i/>
          <w:color w:val="548DD4" w:themeColor="text2" w:themeTint="99"/>
          <w:u w:val="single"/>
        </w:rPr>
        <w:t>Policy</w:t>
      </w:r>
      <w:r w:rsidR="00295877" w:rsidRPr="00295877">
        <w:rPr>
          <w:rFonts w:ascii="Times New Roman" w:hAnsi="Times New Roman" w:cs="Times New Roman"/>
        </w:rPr>
        <w:t>:</w:t>
      </w:r>
    </w:p>
    <w:p w:rsidR="00C87833" w:rsidRDefault="00082128" w:rsidP="00295877">
      <w:pPr>
        <w:rPr>
          <w:rFonts w:ascii="Times New Roman" w:hAnsi="Times New Roman" w:cs="Times New Roman"/>
          <w:i/>
        </w:rPr>
      </w:pPr>
      <w:r>
        <w:rPr>
          <w:rFonts w:ascii="Times New Roman" w:hAnsi="Times New Roman" w:cs="Times New Roman"/>
          <w:i/>
        </w:rPr>
        <w:t>See attached Travel Expense Form</w:t>
      </w:r>
    </w:p>
    <w:p w:rsidR="00295877" w:rsidRPr="00295877" w:rsidRDefault="00295877" w:rsidP="00295877">
      <w:pPr>
        <w:rPr>
          <w:rFonts w:ascii="Times New Roman" w:hAnsi="Times New Roman" w:cs="Times New Roman"/>
        </w:rPr>
      </w:pPr>
      <w:r w:rsidRPr="00295877">
        <w:rPr>
          <w:rFonts w:ascii="Times New Roman" w:hAnsi="Times New Roman" w:cs="Times New Roman"/>
        </w:rPr>
        <w:t xml:space="preserve">Costs of personal expenses, expenses of travel companions, or entertainment will not be supported by either tuition revenue or commercial support. </w:t>
      </w:r>
    </w:p>
    <w:p w:rsidR="00295877" w:rsidRDefault="00295877" w:rsidP="00295877"/>
    <w:p w:rsidR="00295877" w:rsidRDefault="006E1C1C" w:rsidP="006E1C1C">
      <w:r>
        <w:t>* The CME Department is not responsible for processing payment of honorarium(s) or any expenses.  The department sponsoring the conference is responsible for handling and p</w:t>
      </w:r>
      <w:r w:rsidR="000A6409">
        <w:t>rocessing all payments through Accounts Pa</w:t>
      </w:r>
      <w:r>
        <w:t>yable.</w:t>
      </w:r>
      <w:bookmarkStart w:id="0" w:name="_GoBack"/>
      <w:bookmarkEnd w:id="0"/>
    </w:p>
    <w:p w:rsidR="00892FAD" w:rsidRDefault="00892FAD" w:rsidP="00892FAD">
      <w:r>
        <w:t>____________________</w:t>
      </w:r>
    </w:p>
    <w:p w:rsidR="00C6462F" w:rsidRDefault="00892FAD" w:rsidP="00295877">
      <w:proofErr w:type="gramStart"/>
      <w:r>
        <w:t>³See ACCME Standard 3.10.</w:t>
      </w:r>
      <w:proofErr w:type="gramEnd"/>
    </w:p>
    <w:sectPr w:rsidR="00C6462F" w:rsidSect="0029587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7EE" w:rsidRDefault="00A607EE" w:rsidP="000A7829">
      <w:pPr>
        <w:spacing w:after="0" w:line="240" w:lineRule="auto"/>
      </w:pPr>
      <w:r>
        <w:separator/>
      </w:r>
    </w:p>
  </w:endnote>
  <w:endnote w:type="continuationSeparator" w:id="0">
    <w:p w:rsidR="00A607EE" w:rsidRDefault="00A607EE" w:rsidP="000A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76920"/>
      <w:docPartObj>
        <w:docPartGallery w:val="Page Numbers (Bottom of Page)"/>
        <w:docPartUnique/>
      </w:docPartObj>
    </w:sdtPr>
    <w:sdtEndPr>
      <w:rPr>
        <w:noProof/>
      </w:rPr>
    </w:sdtEndPr>
    <w:sdtContent>
      <w:p w:rsidR="00C6462F" w:rsidRDefault="00C6462F">
        <w:pPr>
          <w:pStyle w:val="Footer"/>
          <w:jc w:val="right"/>
        </w:pPr>
        <w:r>
          <w:fldChar w:fldCharType="begin"/>
        </w:r>
        <w:r>
          <w:instrText xml:space="preserve"> PAGE   \* MERGEFORMAT </w:instrText>
        </w:r>
        <w:r>
          <w:fldChar w:fldCharType="separate"/>
        </w:r>
        <w:r w:rsidR="000A6409">
          <w:rPr>
            <w:noProof/>
          </w:rPr>
          <w:t>3</w:t>
        </w:r>
        <w:r>
          <w:rPr>
            <w:noProof/>
          </w:rPr>
          <w:fldChar w:fldCharType="end"/>
        </w:r>
      </w:p>
    </w:sdtContent>
  </w:sdt>
  <w:p w:rsidR="00C6462F" w:rsidRDefault="00C6462F">
    <w:pPr>
      <w:pStyle w:val="Footer"/>
    </w:pPr>
    <w:r>
      <w:t>Honoraria Policy, Procedures, and Guidelines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7EE" w:rsidRDefault="00A607EE" w:rsidP="000A7829">
      <w:pPr>
        <w:spacing w:after="0" w:line="240" w:lineRule="auto"/>
      </w:pPr>
      <w:r>
        <w:separator/>
      </w:r>
    </w:p>
  </w:footnote>
  <w:footnote w:type="continuationSeparator" w:id="0">
    <w:p w:rsidR="00A607EE" w:rsidRDefault="00A607EE" w:rsidP="000A7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6325B"/>
    <w:multiLevelType w:val="hybridMultilevel"/>
    <w:tmpl w:val="FDC62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538C4"/>
    <w:multiLevelType w:val="hybridMultilevel"/>
    <w:tmpl w:val="E804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2366CD"/>
    <w:multiLevelType w:val="hybridMultilevel"/>
    <w:tmpl w:val="34BA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16406E"/>
    <w:multiLevelType w:val="hybridMultilevel"/>
    <w:tmpl w:val="0998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35612E"/>
    <w:multiLevelType w:val="hybridMultilevel"/>
    <w:tmpl w:val="6696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D0"/>
    <w:rsid w:val="00082128"/>
    <w:rsid w:val="000A6409"/>
    <w:rsid w:val="000A7829"/>
    <w:rsid w:val="00137104"/>
    <w:rsid w:val="001C4708"/>
    <w:rsid w:val="00295877"/>
    <w:rsid w:val="00326BC6"/>
    <w:rsid w:val="004817A3"/>
    <w:rsid w:val="00506DD0"/>
    <w:rsid w:val="0062006A"/>
    <w:rsid w:val="006D7257"/>
    <w:rsid w:val="006E1C1C"/>
    <w:rsid w:val="00892FAD"/>
    <w:rsid w:val="00937DBF"/>
    <w:rsid w:val="00A607EE"/>
    <w:rsid w:val="00B572F8"/>
    <w:rsid w:val="00C33467"/>
    <w:rsid w:val="00C6462F"/>
    <w:rsid w:val="00C87833"/>
    <w:rsid w:val="00CD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DD0"/>
    <w:pPr>
      <w:ind w:left="720"/>
      <w:contextualSpacing/>
    </w:pPr>
  </w:style>
  <w:style w:type="paragraph" w:styleId="Header">
    <w:name w:val="header"/>
    <w:basedOn w:val="Normal"/>
    <w:link w:val="HeaderChar"/>
    <w:uiPriority w:val="99"/>
    <w:unhideWhenUsed/>
    <w:rsid w:val="000A7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829"/>
  </w:style>
  <w:style w:type="paragraph" w:styleId="Footer">
    <w:name w:val="footer"/>
    <w:basedOn w:val="Normal"/>
    <w:link w:val="FooterChar"/>
    <w:uiPriority w:val="99"/>
    <w:unhideWhenUsed/>
    <w:rsid w:val="000A7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829"/>
  </w:style>
  <w:style w:type="paragraph" w:styleId="BalloonText">
    <w:name w:val="Balloon Text"/>
    <w:basedOn w:val="Normal"/>
    <w:link w:val="BalloonTextChar"/>
    <w:uiPriority w:val="99"/>
    <w:semiHidden/>
    <w:unhideWhenUsed/>
    <w:rsid w:val="000A7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829"/>
    <w:rPr>
      <w:rFonts w:ascii="Tahoma" w:hAnsi="Tahoma" w:cs="Tahoma"/>
      <w:sz w:val="16"/>
      <w:szCs w:val="16"/>
    </w:rPr>
  </w:style>
  <w:style w:type="table" w:styleId="TableGrid">
    <w:name w:val="Table Grid"/>
    <w:basedOn w:val="TableNormal"/>
    <w:uiPriority w:val="59"/>
    <w:rsid w:val="000A7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B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DD0"/>
    <w:pPr>
      <w:ind w:left="720"/>
      <w:contextualSpacing/>
    </w:pPr>
  </w:style>
  <w:style w:type="paragraph" w:styleId="Header">
    <w:name w:val="header"/>
    <w:basedOn w:val="Normal"/>
    <w:link w:val="HeaderChar"/>
    <w:uiPriority w:val="99"/>
    <w:unhideWhenUsed/>
    <w:rsid w:val="000A7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829"/>
  </w:style>
  <w:style w:type="paragraph" w:styleId="Footer">
    <w:name w:val="footer"/>
    <w:basedOn w:val="Normal"/>
    <w:link w:val="FooterChar"/>
    <w:uiPriority w:val="99"/>
    <w:unhideWhenUsed/>
    <w:rsid w:val="000A7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829"/>
  </w:style>
  <w:style w:type="paragraph" w:styleId="BalloonText">
    <w:name w:val="Balloon Text"/>
    <w:basedOn w:val="Normal"/>
    <w:link w:val="BalloonTextChar"/>
    <w:uiPriority w:val="99"/>
    <w:semiHidden/>
    <w:unhideWhenUsed/>
    <w:rsid w:val="000A7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829"/>
    <w:rPr>
      <w:rFonts w:ascii="Tahoma" w:hAnsi="Tahoma" w:cs="Tahoma"/>
      <w:sz w:val="16"/>
      <w:szCs w:val="16"/>
    </w:rPr>
  </w:style>
  <w:style w:type="table" w:styleId="TableGrid">
    <w:name w:val="Table Grid"/>
    <w:basedOn w:val="TableNormal"/>
    <w:uiPriority w:val="59"/>
    <w:rsid w:val="000A7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B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2.tch.harvard.edu/finance/mainpageS2601P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Niccolini, Lesley</cp:lastModifiedBy>
  <cp:revision>5</cp:revision>
  <dcterms:created xsi:type="dcterms:W3CDTF">2015-07-07T20:01:00Z</dcterms:created>
  <dcterms:modified xsi:type="dcterms:W3CDTF">2015-07-13T14:17:00Z</dcterms:modified>
</cp:coreProperties>
</file>