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4B942" w14:textId="12BD1E86" w:rsidR="009F6F8B" w:rsidRPr="00AB0693" w:rsidRDefault="00F940B4" w:rsidP="00F940B4">
      <w:pPr>
        <w:pStyle w:val="ListParagraph"/>
        <w:pBdr>
          <w:bottom w:val="single" w:sz="12" w:space="1" w:color="auto"/>
        </w:pBdr>
        <w:ind w:left="0" w:firstLine="90"/>
        <w:rPr>
          <w:rStyle w:val="Strong"/>
          <w:sz w:val="28"/>
        </w:rPr>
      </w:pPr>
      <w:bookmarkStart w:id="0" w:name="_GoBack"/>
      <w:bookmarkEnd w:id="0"/>
      <w:r w:rsidRPr="00AB0693">
        <w:rPr>
          <w:rStyle w:val="IntenseEmphasis"/>
          <w:noProof/>
        </w:rPr>
        <w:drawing>
          <wp:anchor distT="0" distB="0" distL="114300" distR="114300" simplePos="0" relativeHeight="251658240" behindDoc="0" locked="0" layoutInCell="1" allowOverlap="1" wp14:anchorId="7C627E3A" wp14:editId="48DD573A">
            <wp:simplePos x="0" y="0"/>
            <wp:positionH relativeFrom="margin">
              <wp:posOffset>3593119</wp:posOffset>
            </wp:positionH>
            <wp:positionV relativeFrom="margin">
              <wp:posOffset>-498475</wp:posOffset>
            </wp:positionV>
            <wp:extent cx="2597785" cy="38862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lack_Lato_Regula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78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577">
        <w:rPr>
          <w:rStyle w:val="Strong"/>
          <w:sz w:val="28"/>
        </w:rPr>
        <w:t xml:space="preserve">Developing </w:t>
      </w:r>
      <w:r w:rsidR="005677CE">
        <w:rPr>
          <w:rStyle w:val="Strong"/>
          <w:sz w:val="28"/>
        </w:rPr>
        <w:t>Learning</w:t>
      </w:r>
      <w:r w:rsidR="00E162C9">
        <w:rPr>
          <w:rStyle w:val="Strong"/>
          <w:sz w:val="28"/>
        </w:rPr>
        <w:t xml:space="preserve"> </w:t>
      </w:r>
      <w:r w:rsidR="005677CE">
        <w:rPr>
          <w:rStyle w:val="Strong"/>
          <w:sz w:val="28"/>
        </w:rPr>
        <w:t>Objectives</w:t>
      </w:r>
    </w:p>
    <w:p w14:paraId="18D66CB2" w14:textId="77777777" w:rsidR="00B71484" w:rsidRDefault="00B71484" w:rsidP="00670264">
      <w:pPr>
        <w:rPr>
          <w:sz w:val="22"/>
        </w:rPr>
      </w:pPr>
    </w:p>
    <w:p w14:paraId="0B33705D" w14:textId="7C48ACBA" w:rsidR="004F6169" w:rsidRPr="00F5760E" w:rsidRDefault="00B71484" w:rsidP="005677CE">
      <w:pPr>
        <w:rPr>
          <w:sz w:val="22"/>
        </w:rPr>
      </w:pPr>
      <w:r>
        <w:rPr>
          <w:sz w:val="22"/>
        </w:rPr>
        <w:t>Learning</w:t>
      </w:r>
      <w:r w:rsidRPr="00B71484">
        <w:rPr>
          <w:sz w:val="22"/>
        </w:rPr>
        <w:t xml:space="preserve"> objectives are</w:t>
      </w:r>
      <w:r w:rsidR="00CD1A3B">
        <w:rPr>
          <w:sz w:val="22"/>
        </w:rPr>
        <w:t xml:space="preserve"> </w:t>
      </w:r>
      <w:r w:rsidRPr="00B71484">
        <w:rPr>
          <w:sz w:val="22"/>
        </w:rPr>
        <w:t>clear, concise</w:t>
      </w:r>
      <w:r w:rsidR="004648C5">
        <w:rPr>
          <w:sz w:val="22"/>
        </w:rPr>
        <w:t xml:space="preserve"> and specific</w:t>
      </w:r>
      <w:r w:rsidRPr="00B71484">
        <w:rPr>
          <w:sz w:val="22"/>
        </w:rPr>
        <w:t xml:space="preserve"> statements </w:t>
      </w:r>
      <w:r w:rsidR="00CD1A3B">
        <w:rPr>
          <w:sz w:val="22"/>
        </w:rPr>
        <w:t>describing</w:t>
      </w:r>
      <w:r w:rsidRPr="00B71484">
        <w:rPr>
          <w:sz w:val="22"/>
        </w:rPr>
        <w:t xml:space="preserve"> knowled</w:t>
      </w:r>
      <w:r w:rsidR="00CD1A3B">
        <w:rPr>
          <w:sz w:val="22"/>
        </w:rPr>
        <w:t>ge, attitudes or skills that</w:t>
      </w:r>
      <w:r w:rsidRPr="00B71484">
        <w:rPr>
          <w:sz w:val="22"/>
        </w:rPr>
        <w:t xml:space="preserve"> </w:t>
      </w:r>
      <w:r>
        <w:rPr>
          <w:sz w:val="22"/>
        </w:rPr>
        <w:t>learner</w:t>
      </w:r>
      <w:r w:rsidR="00CD1A3B">
        <w:rPr>
          <w:sz w:val="22"/>
        </w:rPr>
        <w:t>s</w:t>
      </w:r>
      <w:r w:rsidRPr="00B71484">
        <w:rPr>
          <w:sz w:val="22"/>
        </w:rPr>
        <w:t xml:space="preserve"> </w:t>
      </w:r>
      <w:r w:rsidR="00CD1A3B">
        <w:rPr>
          <w:sz w:val="22"/>
        </w:rPr>
        <w:t>are expected to gain as a</w:t>
      </w:r>
      <w:r w:rsidRPr="00B71484">
        <w:rPr>
          <w:sz w:val="22"/>
        </w:rPr>
        <w:t xml:space="preserve"> result of</w:t>
      </w:r>
      <w:r>
        <w:rPr>
          <w:sz w:val="22"/>
        </w:rPr>
        <w:t xml:space="preserve"> </w:t>
      </w:r>
      <w:r w:rsidR="00F5760E">
        <w:rPr>
          <w:sz w:val="22"/>
        </w:rPr>
        <w:t xml:space="preserve">participating in </w:t>
      </w:r>
      <w:r w:rsidR="005677CE">
        <w:rPr>
          <w:sz w:val="22"/>
        </w:rPr>
        <w:t>your educational</w:t>
      </w:r>
      <w:r w:rsidR="00F5760E">
        <w:rPr>
          <w:sz w:val="22"/>
        </w:rPr>
        <w:t xml:space="preserve"> activity.</w:t>
      </w:r>
      <w:r w:rsidR="005677CE">
        <w:rPr>
          <w:sz w:val="22"/>
        </w:rPr>
        <w:t xml:space="preserve"> </w:t>
      </w:r>
      <w:r w:rsidR="00F5760E">
        <w:rPr>
          <w:sz w:val="22"/>
        </w:rPr>
        <w:t>Learning o</w:t>
      </w:r>
      <w:r w:rsidR="00F5760E" w:rsidRPr="00F5760E">
        <w:rPr>
          <w:sz w:val="22"/>
        </w:rPr>
        <w:t xml:space="preserve">bjectives </w:t>
      </w:r>
      <w:r w:rsidR="00CD1A3B">
        <w:rPr>
          <w:sz w:val="22"/>
        </w:rPr>
        <w:t>are developed based on identified needs or gap</w:t>
      </w:r>
      <w:r w:rsidR="005677CE">
        <w:rPr>
          <w:sz w:val="22"/>
        </w:rPr>
        <w:t>s, linking to broader goals and</w:t>
      </w:r>
      <w:r w:rsidR="00CD1A3B">
        <w:rPr>
          <w:sz w:val="22"/>
        </w:rPr>
        <w:t xml:space="preserve"> desired outcomes. They </w:t>
      </w:r>
      <w:r w:rsidR="00F5760E" w:rsidRPr="00F5760E">
        <w:rPr>
          <w:sz w:val="22"/>
        </w:rPr>
        <w:t>guide the choice of</w:t>
      </w:r>
      <w:r w:rsidR="00F5760E">
        <w:rPr>
          <w:sz w:val="22"/>
        </w:rPr>
        <w:t xml:space="preserve"> educational strategies</w:t>
      </w:r>
      <w:r w:rsidR="004648C5">
        <w:rPr>
          <w:sz w:val="22"/>
        </w:rPr>
        <w:t xml:space="preserve"> (content and methods)</w:t>
      </w:r>
      <w:r w:rsidR="00F5760E" w:rsidRPr="00F5760E">
        <w:rPr>
          <w:sz w:val="22"/>
        </w:rPr>
        <w:t xml:space="preserve"> </w:t>
      </w:r>
      <w:r w:rsidR="00F5760E">
        <w:rPr>
          <w:sz w:val="22"/>
        </w:rPr>
        <w:t>and assessments</w:t>
      </w:r>
      <w:r w:rsidR="00F5760E" w:rsidRPr="00F5760E">
        <w:rPr>
          <w:sz w:val="22"/>
        </w:rPr>
        <w:t>.</w:t>
      </w:r>
      <w:r w:rsidR="005677CE">
        <w:rPr>
          <w:sz w:val="22"/>
        </w:rPr>
        <w:t xml:space="preserve"> Keep the following practical tips in mind when developing learning objectives:</w:t>
      </w:r>
    </w:p>
    <w:p w14:paraId="0DDA6EF6" w14:textId="77777777" w:rsidR="005677CE" w:rsidRDefault="005677CE" w:rsidP="00670264">
      <w:pPr>
        <w:rPr>
          <w:sz w:val="22"/>
        </w:rPr>
      </w:pPr>
    </w:p>
    <w:p w14:paraId="0B1768AA" w14:textId="77777777" w:rsidR="005677CE" w:rsidRDefault="005677CE" w:rsidP="00670264">
      <w:pPr>
        <w:rPr>
          <w:sz w:val="22"/>
        </w:rPr>
      </w:pPr>
    </w:p>
    <w:p w14:paraId="4F6A6744" w14:textId="01F6E624" w:rsidR="004F6169" w:rsidRDefault="00B71484" w:rsidP="00670264">
      <w:pPr>
        <w:rPr>
          <w:sz w:val="22"/>
        </w:rPr>
      </w:pPr>
      <w:r w:rsidRPr="00B71484">
        <w:rPr>
          <w:b/>
          <w:sz w:val="28"/>
          <w:u w:val="single"/>
        </w:rPr>
        <w:t>Learning</w:t>
      </w:r>
      <w:r>
        <w:rPr>
          <w:sz w:val="22"/>
        </w:rPr>
        <w:t xml:space="preserve"> objectives are for the </w:t>
      </w:r>
      <w:r w:rsidRPr="00B71484">
        <w:rPr>
          <w:b/>
          <w:sz w:val="28"/>
          <w:u w:val="single"/>
        </w:rPr>
        <w:t>learner</w:t>
      </w:r>
      <w:r>
        <w:rPr>
          <w:sz w:val="22"/>
        </w:rPr>
        <w:t>, not the teacher!</w:t>
      </w:r>
      <w:r w:rsidR="004F6169">
        <w:rPr>
          <w:sz w:val="22"/>
        </w:rPr>
        <w:t xml:space="preserve"> Finish this sentence:</w:t>
      </w:r>
    </w:p>
    <w:p w14:paraId="664BAFCD" w14:textId="345DBD49" w:rsidR="00F808C2" w:rsidRPr="004F6169" w:rsidRDefault="004F6169" w:rsidP="004F6169">
      <w:pPr>
        <w:jc w:val="right"/>
        <w:rPr>
          <w:i/>
          <w:sz w:val="22"/>
        </w:rPr>
      </w:pPr>
      <w:r>
        <w:rPr>
          <w:i/>
          <w:sz w:val="22"/>
        </w:rPr>
        <w:t>“</w:t>
      </w:r>
      <w:r w:rsidRPr="004F6169">
        <w:rPr>
          <w:i/>
          <w:sz w:val="22"/>
        </w:rPr>
        <w:t>Upon completion of this activity, learners will be able to…</w:t>
      </w:r>
      <w:r>
        <w:rPr>
          <w:i/>
          <w:sz w:val="22"/>
        </w:rPr>
        <w:t>”</w:t>
      </w:r>
    </w:p>
    <w:p w14:paraId="7942DCEA" w14:textId="77777777" w:rsidR="004F6169" w:rsidRDefault="004F6169" w:rsidP="00B71484">
      <w:pPr>
        <w:shd w:val="clear" w:color="auto" w:fill="FFFFFF"/>
        <w:spacing w:after="60"/>
        <w:contextualSpacing/>
        <w:rPr>
          <w:rFonts w:eastAsia="Times New Roman" w:cs="Arial"/>
          <w:color w:val="222222"/>
          <w:sz w:val="22"/>
          <w:szCs w:val="22"/>
        </w:rPr>
      </w:pPr>
    </w:p>
    <w:p w14:paraId="77FF07C8" w14:textId="77777777" w:rsidR="005677CE" w:rsidRDefault="005677CE" w:rsidP="00B71484">
      <w:pPr>
        <w:shd w:val="clear" w:color="auto" w:fill="FFFFFF"/>
        <w:spacing w:after="60"/>
        <w:contextualSpacing/>
        <w:rPr>
          <w:rFonts w:eastAsia="Times New Roman" w:cs="Arial"/>
          <w:color w:val="222222"/>
          <w:sz w:val="22"/>
          <w:szCs w:val="22"/>
        </w:rPr>
      </w:pPr>
    </w:p>
    <w:p w14:paraId="2B421EEA" w14:textId="53B9C921" w:rsidR="00F5760E" w:rsidRDefault="00F5760E" w:rsidP="00B71484">
      <w:pPr>
        <w:shd w:val="clear" w:color="auto" w:fill="FFFFFF"/>
        <w:spacing w:after="60"/>
        <w:contextualSpacing/>
        <w:rPr>
          <w:rFonts w:eastAsia="Times New Roman" w:cs="Arial"/>
          <w:color w:val="222222"/>
          <w:sz w:val="22"/>
          <w:szCs w:val="22"/>
        </w:rPr>
      </w:pPr>
      <w:r>
        <w:rPr>
          <w:rFonts w:eastAsia="Times New Roman" w:cs="Arial"/>
          <w:color w:val="222222"/>
          <w:sz w:val="22"/>
          <w:szCs w:val="22"/>
        </w:rPr>
        <w:t xml:space="preserve">Learning objectives should be </w:t>
      </w:r>
      <w:r w:rsidRPr="00F5760E">
        <w:rPr>
          <w:b/>
          <w:sz w:val="28"/>
          <w:u w:val="single"/>
        </w:rPr>
        <w:t>measurable</w:t>
      </w:r>
      <w:r>
        <w:rPr>
          <w:rFonts w:eastAsia="Times New Roman" w:cs="Arial"/>
          <w:color w:val="222222"/>
          <w:sz w:val="22"/>
          <w:szCs w:val="22"/>
        </w:rPr>
        <w:t>, linking to specific actions or behaviors.</w:t>
      </w:r>
    </w:p>
    <w:p w14:paraId="1A3EB67A" w14:textId="7AF26A38" w:rsidR="004F6169" w:rsidRDefault="004648C5" w:rsidP="00B71484">
      <w:pPr>
        <w:shd w:val="clear" w:color="auto" w:fill="FFFFFF"/>
        <w:spacing w:after="60"/>
        <w:contextualSpacing/>
        <w:rPr>
          <w:rFonts w:eastAsia="Times New Roman" w:cs="Arial"/>
          <w:color w:val="222222"/>
          <w:sz w:val="22"/>
          <w:szCs w:val="22"/>
        </w:rPr>
      </w:pPr>
      <w:r>
        <w:rPr>
          <w:b/>
          <w:sz w:val="28"/>
          <w:u w:val="single"/>
        </w:rPr>
        <w:t>Use action</w:t>
      </w:r>
      <w:r w:rsidR="00F5760E" w:rsidRPr="00F5760E">
        <w:rPr>
          <w:b/>
          <w:sz w:val="28"/>
          <w:u w:val="single"/>
        </w:rPr>
        <w:t xml:space="preserve"> verbs</w:t>
      </w:r>
      <w:r>
        <w:rPr>
          <w:rFonts w:eastAsia="Times New Roman" w:cs="Arial"/>
          <w:color w:val="222222"/>
          <w:sz w:val="22"/>
          <w:szCs w:val="22"/>
        </w:rPr>
        <w:t>. A</w:t>
      </w:r>
      <w:r w:rsidR="00F808C2">
        <w:rPr>
          <w:rFonts w:eastAsia="Times New Roman" w:cs="Arial"/>
          <w:color w:val="222222"/>
          <w:sz w:val="22"/>
          <w:szCs w:val="22"/>
        </w:rPr>
        <w:t>void</w:t>
      </w:r>
      <w:r w:rsidR="00B71484" w:rsidRPr="00F808C2">
        <w:rPr>
          <w:rFonts w:eastAsia="Times New Roman" w:cs="Arial"/>
          <w:color w:val="222222"/>
          <w:sz w:val="22"/>
          <w:szCs w:val="22"/>
        </w:rPr>
        <w:t xml:space="preserve"> “</w:t>
      </w:r>
      <w:r w:rsidR="00B71484" w:rsidRPr="00F5760E">
        <w:rPr>
          <w:rFonts w:eastAsia="Times New Roman" w:cs="Arial"/>
          <w:color w:val="222222"/>
          <w:sz w:val="22"/>
          <w:szCs w:val="22"/>
        </w:rPr>
        <w:t>understand</w:t>
      </w:r>
      <w:r w:rsidR="00F5760E" w:rsidRPr="00F5760E">
        <w:rPr>
          <w:rFonts w:eastAsia="Times New Roman" w:cs="Arial"/>
          <w:color w:val="222222"/>
          <w:sz w:val="22"/>
          <w:szCs w:val="22"/>
        </w:rPr>
        <w:t xml:space="preserve">, </w:t>
      </w:r>
      <w:r w:rsidR="0060534F">
        <w:rPr>
          <w:rFonts w:eastAsia="Times New Roman" w:cs="Arial"/>
          <w:color w:val="222222"/>
          <w:sz w:val="22"/>
          <w:szCs w:val="22"/>
        </w:rPr>
        <w:t xml:space="preserve">learn, </w:t>
      </w:r>
      <w:r w:rsidR="00F5760E" w:rsidRPr="00F5760E">
        <w:rPr>
          <w:rFonts w:eastAsia="Times New Roman" w:cs="Arial"/>
          <w:color w:val="222222"/>
          <w:sz w:val="22"/>
          <w:szCs w:val="22"/>
        </w:rPr>
        <w:t>appreciate,</w:t>
      </w:r>
      <w:r w:rsidR="0060534F">
        <w:rPr>
          <w:rFonts w:eastAsia="Times New Roman" w:cs="Arial"/>
          <w:color w:val="222222"/>
          <w:sz w:val="22"/>
          <w:szCs w:val="22"/>
        </w:rPr>
        <w:t xml:space="preserve"> believe</w:t>
      </w:r>
      <w:r>
        <w:rPr>
          <w:rFonts w:eastAsia="Times New Roman" w:cs="Arial"/>
          <w:color w:val="222222"/>
          <w:sz w:val="22"/>
          <w:szCs w:val="22"/>
        </w:rPr>
        <w:t xml:space="preserve">, </w:t>
      </w:r>
      <w:r w:rsidR="00F5760E" w:rsidRPr="00F5760E">
        <w:rPr>
          <w:rFonts w:eastAsia="Times New Roman" w:cs="Arial"/>
          <w:color w:val="222222"/>
          <w:sz w:val="22"/>
          <w:szCs w:val="22"/>
        </w:rPr>
        <w:t>know, improve</w:t>
      </w:r>
      <w:r w:rsidR="004F6169">
        <w:rPr>
          <w:rFonts w:eastAsia="Times New Roman" w:cs="Arial"/>
          <w:color w:val="222222"/>
          <w:sz w:val="22"/>
          <w:szCs w:val="22"/>
        </w:rPr>
        <w:t>”. Ask yourself,</w:t>
      </w:r>
    </w:p>
    <w:p w14:paraId="792BFCE2" w14:textId="39426F4C" w:rsidR="00B71484" w:rsidRPr="004F6169" w:rsidRDefault="00B71484" w:rsidP="004F6169">
      <w:pPr>
        <w:shd w:val="clear" w:color="auto" w:fill="FFFFFF"/>
        <w:spacing w:after="60"/>
        <w:contextualSpacing/>
        <w:jc w:val="right"/>
        <w:rPr>
          <w:rFonts w:eastAsia="Times New Roman" w:cs="Arial"/>
          <w:i/>
          <w:color w:val="222222"/>
          <w:sz w:val="22"/>
          <w:szCs w:val="22"/>
        </w:rPr>
      </w:pPr>
      <w:r w:rsidRPr="004F6169">
        <w:rPr>
          <w:rFonts w:eastAsia="Times New Roman" w:cs="Arial"/>
          <w:i/>
          <w:color w:val="222222"/>
          <w:sz w:val="22"/>
          <w:szCs w:val="22"/>
        </w:rPr>
        <w:t xml:space="preserve">“What should the learner be able to </w:t>
      </w:r>
      <w:r w:rsidRPr="004F6169">
        <w:rPr>
          <w:b/>
          <w:i/>
          <w:sz w:val="28"/>
          <w:u w:val="single"/>
        </w:rPr>
        <w:t>do</w:t>
      </w:r>
      <w:r w:rsidRPr="004F6169">
        <w:rPr>
          <w:rFonts w:eastAsia="Times New Roman" w:cs="Arial"/>
          <w:i/>
          <w:color w:val="222222"/>
          <w:sz w:val="22"/>
          <w:szCs w:val="22"/>
        </w:rPr>
        <w:t xml:space="preserve"> </w:t>
      </w:r>
      <w:r w:rsidR="005677CE">
        <w:rPr>
          <w:rFonts w:eastAsia="Times New Roman" w:cs="Arial"/>
          <w:i/>
          <w:color w:val="222222"/>
          <w:sz w:val="22"/>
          <w:szCs w:val="22"/>
        </w:rPr>
        <w:t xml:space="preserve">differently </w:t>
      </w:r>
      <w:r w:rsidRPr="004F6169">
        <w:rPr>
          <w:rFonts w:eastAsia="Times New Roman" w:cs="Arial"/>
          <w:i/>
          <w:color w:val="222222"/>
          <w:sz w:val="22"/>
          <w:szCs w:val="22"/>
        </w:rPr>
        <w:t>if the</w:t>
      </w:r>
      <w:r w:rsidR="00F808C2" w:rsidRPr="004F6169">
        <w:rPr>
          <w:rFonts w:eastAsia="Times New Roman" w:cs="Arial"/>
          <w:i/>
          <w:color w:val="222222"/>
          <w:sz w:val="22"/>
          <w:szCs w:val="22"/>
        </w:rPr>
        <w:t xml:space="preserve"> learner </w:t>
      </w:r>
      <w:r w:rsidR="005677CE">
        <w:rPr>
          <w:rFonts w:eastAsia="Times New Roman" w:cs="Arial"/>
          <w:i/>
          <w:color w:val="222222"/>
          <w:sz w:val="22"/>
          <w:szCs w:val="22"/>
        </w:rPr>
        <w:t>participates in the activity</w:t>
      </w:r>
      <w:r w:rsidRPr="004F6169">
        <w:rPr>
          <w:rFonts w:eastAsia="Times New Roman" w:cs="Arial"/>
          <w:i/>
          <w:color w:val="222222"/>
          <w:sz w:val="22"/>
          <w:szCs w:val="22"/>
        </w:rPr>
        <w:t>?”</w:t>
      </w:r>
    </w:p>
    <w:p w14:paraId="77CE9624" w14:textId="516C412D" w:rsidR="007C2C75" w:rsidRDefault="007C2C75" w:rsidP="00670264">
      <w:pPr>
        <w:rPr>
          <w:sz w:val="22"/>
        </w:rPr>
      </w:pPr>
    </w:p>
    <w:p w14:paraId="0347E3E9" w14:textId="77777777" w:rsidR="005677CE" w:rsidRDefault="005677CE" w:rsidP="00670264">
      <w:pPr>
        <w:rPr>
          <w:sz w:val="22"/>
        </w:rPr>
      </w:pPr>
    </w:p>
    <w:p w14:paraId="18DF43E7" w14:textId="3FA86A40" w:rsidR="00E83532" w:rsidRPr="005677CE" w:rsidRDefault="004F6169" w:rsidP="00E83532">
      <w:pPr>
        <w:pStyle w:val="textbox"/>
        <w:shd w:val="clear" w:color="auto" w:fill="FFFFFF"/>
        <w:spacing w:before="0" w:beforeAutospacing="0" w:after="0" w:afterAutospacing="0"/>
        <w:rPr>
          <w:rFonts w:ascii="Calibri" w:hAnsi="Calibri" w:cs="Times"/>
          <w:color w:val="000000"/>
          <w:sz w:val="22"/>
          <w:szCs w:val="22"/>
        </w:rPr>
      </w:pPr>
      <w:r w:rsidRPr="005677CE">
        <w:rPr>
          <w:rFonts w:ascii="Calibri" w:hAnsi="Calibri" w:cs="Times"/>
          <w:color w:val="000000"/>
          <w:sz w:val="22"/>
          <w:szCs w:val="22"/>
        </w:rPr>
        <w:t xml:space="preserve">Bloom’s Taxonomy provides a framework for developing educational objectives, instructional activities and assessments. When possible, </w:t>
      </w:r>
      <w:r w:rsidRPr="005677CE">
        <w:rPr>
          <w:rFonts w:asciiTheme="minorHAnsi" w:hAnsiTheme="minorHAnsi" w:cstheme="minorBidi"/>
          <w:b/>
          <w:sz w:val="28"/>
          <w:u w:val="single"/>
        </w:rPr>
        <w:t>aim for higher-order thinking</w:t>
      </w:r>
      <w:r w:rsidRPr="005677CE">
        <w:rPr>
          <w:rFonts w:ascii="Calibri" w:hAnsi="Calibri" w:cs="Times"/>
          <w:color w:val="000000"/>
          <w:sz w:val="22"/>
          <w:szCs w:val="22"/>
        </w:rPr>
        <w:t xml:space="preserve"> </w:t>
      </w:r>
      <w:r w:rsidR="005677CE" w:rsidRPr="005677CE">
        <w:rPr>
          <w:rFonts w:ascii="Calibri" w:hAnsi="Calibri" w:cs="Times"/>
          <w:color w:val="000000"/>
          <w:sz w:val="22"/>
          <w:szCs w:val="22"/>
        </w:rPr>
        <w:t>(beyond basic recall). For example, you may want your</w:t>
      </w:r>
      <w:r w:rsidR="00F5760E" w:rsidRPr="005677CE">
        <w:rPr>
          <w:rFonts w:ascii="Calibri" w:hAnsi="Calibri" w:cs="Times"/>
          <w:color w:val="000000"/>
          <w:sz w:val="22"/>
          <w:szCs w:val="22"/>
        </w:rPr>
        <w:t xml:space="preserve"> learners </w:t>
      </w:r>
      <w:r w:rsidRPr="005677CE">
        <w:rPr>
          <w:rFonts w:ascii="Calibri" w:hAnsi="Calibri" w:cs="Times"/>
          <w:color w:val="000000"/>
          <w:sz w:val="22"/>
          <w:szCs w:val="22"/>
        </w:rPr>
        <w:t xml:space="preserve">to </w:t>
      </w:r>
      <w:r w:rsidR="00F5760E" w:rsidRPr="005677CE">
        <w:rPr>
          <w:rFonts w:ascii="Calibri" w:hAnsi="Calibri" w:cs="Times"/>
          <w:color w:val="000000"/>
          <w:sz w:val="22"/>
          <w:szCs w:val="22"/>
        </w:rPr>
        <w:t>be able</w:t>
      </w:r>
      <w:r w:rsidRPr="005677CE">
        <w:rPr>
          <w:rFonts w:ascii="Calibri" w:hAnsi="Calibri" w:cs="Times"/>
          <w:color w:val="000000"/>
          <w:sz w:val="22"/>
          <w:szCs w:val="22"/>
        </w:rPr>
        <w:t xml:space="preserve"> to explain concepts (</w:t>
      </w:r>
      <w:r w:rsidR="0006509A">
        <w:rPr>
          <w:rFonts w:ascii="Calibri" w:hAnsi="Calibri" w:cs="Times"/>
          <w:i/>
          <w:color w:val="000000"/>
          <w:sz w:val="22"/>
          <w:szCs w:val="22"/>
        </w:rPr>
        <w:t>comprehension</w:t>
      </w:r>
      <w:r w:rsidRPr="005677CE">
        <w:rPr>
          <w:rFonts w:ascii="Calibri" w:hAnsi="Calibri" w:cs="Times"/>
          <w:color w:val="000000"/>
          <w:sz w:val="22"/>
          <w:szCs w:val="22"/>
        </w:rPr>
        <w:t>), to use information in new situations (</w:t>
      </w:r>
      <w:r w:rsidR="0006509A">
        <w:rPr>
          <w:rFonts w:ascii="Calibri" w:hAnsi="Calibri" w:cs="Times"/>
          <w:i/>
          <w:color w:val="000000"/>
          <w:sz w:val="22"/>
          <w:szCs w:val="22"/>
        </w:rPr>
        <w:t>application</w:t>
      </w:r>
      <w:r w:rsidR="005677CE" w:rsidRPr="005677CE">
        <w:rPr>
          <w:rFonts w:ascii="Calibri" w:hAnsi="Calibri" w:cs="Times"/>
          <w:color w:val="000000"/>
          <w:sz w:val="22"/>
          <w:szCs w:val="22"/>
        </w:rPr>
        <w:t>),</w:t>
      </w:r>
      <w:r w:rsidRPr="005677CE">
        <w:rPr>
          <w:rFonts w:ascii="Calibri" w:hAnsi="Calibri" w:cs="Times"/>
          <w:color w:val="000000"/>
          <w:sz w:val="22"/>
          <w:szCs w:val="22"/>
        </w:rPr>
        <w:t xml:space="preserve"> and to draw connections between ideas (</w:t>
      </w:r>
      <w:r w:rsidR="0006509A">
        <w:rPr>
          <w:rFonts w:ascii="Calibri" w:hAnsi="Calibri" w:cs="Times"/>
          <w:i/>
          <w:color w:val="000000"/>
          <w:sz w:val="22"/>
          <w:szCs w:val="22"/>
        </w:rPr>
        <w:t>analysis</w:t>
      </w:r>
      <w:r w:rsidRPr="005677CE">
        <w:rPr>
          <w:rFonts w:ascii="Calibri" w:hAnsi="Calibri" w:cs="Times"/>
          <w:color w:val="000000"/>
          <w:sz w:val="22"/>
          <w:szCs w:val="22"/>
        </w:rPr>
        <w:t>).</w:t>
      </w:r>
    </w:p>
    <w:p w14:paraId="19D45EDC" w14:textId="6D89950C" w:rsidR="005677CE" w:rsidRDefault="005677CE" w:rsidP="00E83532">
      <w:pPr>
        <w:pStyle w:val="textbox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2E236BD7" w14:textId="77777777" w:rsidR="00844953" w:rsidRDefault="00844953" w:rsidP="00E83532">
      <w:pPr>
        <w:pStyle w:val="textbox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0D36B3E2" w14:textId="60B10FB7" w:rsidR="0006509A" w:rsidRPr="0006509A" w:rsidRDefault="0006509A" w:rsidP="0006509A">
      <w:pPr>
        <w:jc w:val="center"/>
        <w:rPr>
          <w:rFonts w:ascii="Calibri" w:hAnsi="Calibri"/>
          <w:b/>
          <w:sz w:val="22"/>
        </w:rPr>
      </w:pPr>
      <w:r w:rsidRPr="0006509A">
        <w:rPr>
          <w:rFonts w:ascii="Calibri" w:hAnsi="Calibri"/>
          <w:b/>
          <w:sz w:val="22"/>
        </w:rPr>
        <w:t xml:space="preserve">Sample </w:t>
      </w:r>
      <w:r w:rsidR="00A56FFE">
        <w:rPr>
          <w:rFonts w:ascii="Calibri" w:hAnsi="Calibri"/>
          <w:b/>
          <w:sz w:val="22"/>
        </w:rPr>
        <w:t xml:space="preserve">Action </w:t>
      </w:r>
      <w:r w:rsidRPr="0006509A">
        <w:rPr>
          <w:rFonts w:ascii="Calibri" w:hAnsi="Calibri"/>
          <w:b/>
          <w:sz w:val="22"/>
        </w:rPr>
        <w:t>Verbs</w:t>
      </w:r>
    </w:p>
    <w:tbl>
      <w:tblPr>
        <w:tblW w:w="10002" w:type="dxa"/>
        <w:tblInd w:w="93" w:type="dxa"/>
        <w:tblLook w:val="0000" w:firstRow="0" w:lastRow="0" w:firstColumn="0" w:lastColumn="0" w:noHBand="0" w:noVBand="0"/>
      </w:tblPr>
      <w:tblGrid>
        <w:gridCol w:w="1660"/>
        <w:gridCol w:w="1702"/>
        <w:gridCol w:w="1660"/>
        <w:gridCol w:w="1660"/>
        <w:gridCol w:w="1660"/>
        <w:gridCol w:w="1660"/>
      </w:tblGrid>
      <w:tr w:rsidR="0006509A" w:rsidRPr="0006509A" w14:paraId="4FB009A0" w14:textId="77777777" w:rsidTr="00ED706C">
        <w:trPr>
          <w:trHeight w:val="270"/>
        </w:trPr>
        <w:tc>
          <w:tcPr>
            <w:tcW w:w="16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69F962F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b/>
                <w:bCs/>
                <w:sz w:val="22"/>
              </w:rPr>
            </w:pPr>
            <w:r w:rsidRPr="0006509A">
              <w:rPr>
                <w:rFonts w:ascii="Calibri" w:hAnsi="Calibri" w:cs="Tahoma"/>
                <w:b/>
                <w:bCs/>
                <w:sz w:val="22"/>
              </w:rPr>
              <w:t>Knowledge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3513B94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b/>
                <w:bCs/>
                <w:sz w:val="22"/>
              </w:rPr>
            </w:pPr>
            <w:r w:rsidRPr="0006509A">
              <w:rPr>
                <w:rFonts w:ascii="Calibri" w:hAnsi="Calibri" w:cs="Tahoma"/>
                <w:b/>
                <w:bCs/>
                <w:sz w:val="22"/>
              </w:rPr>
              <w:t>Comprehension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E676093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b/>
                <w:bCs/>
                <w:sz w:val="22"/>
              </w:rPr>
            </w:pPr>
            <w:r w:rsidRPr="0006509A">
              <w:rPr>
                <w:rFonts w:ascii="Calibri" w:hAnsi="Calibri" w:cs="Tahoma"/>
                <w:b/>
                <w:bCs/>
                <w:sz w:val="22"/>
              </w:rPr>
              <w:t>Application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EF0D000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b/>
                <w:bCs/>
                <w:sz w:val="22"/>
              </w:rPr>
            </w:pPr>
            <w:r w:rsidRPr="0006509A">
              <w:rPr>
                <w:rFonts w:ascii="Calibri" w:hAnsi="Calibri" w:cs="Tahoma"/>
                <w:b/>
                <w:bCs/>
                <w:sz w:val="22"/>
              </w:rPr>
              <w:t>Analysis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7687FB8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b/>
                <w:bCs/>
                <w:sz w:val="22"/>
              </w:rPr>
            </w:pPr>
            <w:r w:rsidRPr="0006509A">
              <w:rPr>
                <w:rFonts w:ascii="Calibri" w:hAnsi="Calibri" w:cs="Tahoma"/>
                <w:b/>
                <w:bCs/>
                <w:sz w:val="22"/>
              </w:rPr>
              <w:t>Synthesis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EF88916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b/>
                <w:bCs/>
                <w:sz w:val="22"/>
              </w:rPr>
            </w:pPr>
            <w:r w:rsidRPr="0006509A">
              <w:rPr>
                <w:rFonts w:ascii="Calibri" w:hAnsi="Calibri" w:cs="Tahoma"/>
                <w:b/>
                <w:bCs/>
                <w:sz w:val="22"/>
              </w:rPr>
              <w:t>Evaluation</w:t>
            </w:r>
          </w:p>
        </w:tc>
      </w:tr>
      <w:tr w:rsidR="0006509A" w:rsidRPr="0006509A" w14:paraId="2CAA4B96" w14:textId="77777777" w:rsidTr="00ED706C">
        <w:trPr>
          <w:trHeight w:val="270"/>
        </w:trPr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E2A0D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define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FEFEB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classify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3D0E2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apply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11EA7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analyze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1E17B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arrange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40C57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assess</w:t>
            </w:r>
          </w:p>
        </w:tc>
      </w:tr>
      <w:tr w:rsidR="0006509A" w:rsidRPr="0006509A" w14:paraId="7D460798" w14:textId="77777777" w:rsidTr="00ED706C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27523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identify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489AB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compile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249AC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calculate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142B3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calculate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88035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assemble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B270D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compare</w:t>
            </w:r>
          </w:p>
        </w:tc>
      </w:tr>
      <w:tr w:rsidR="0006509A" w:rsidRPr="0006509A" w14:paraId="267A8A10" w14:textId="77777777" w:rsidTr="00ED706C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E4550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label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5C18B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conclude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E9CCE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demonstrate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27B38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 xml:space="preserve">categorize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DEFBC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compose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2B15A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critique</w:t>
            </w:r>
          </w:p>
        </w:tc>
      </w:tr>
      <w:tr w:rsidR="0006509A" w:rsidRPr="0006509A" w14:paraId="5F2534CA" w14:textId="77777777" w:rsidTr="00ED706C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F3C6A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list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759D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discuss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5F056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develop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1E717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classify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B1AA5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construct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A1C1C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decide</w:t>
            </w:r>
          </w:p>
        </w:tc>
      </w:tr>
      <w:tr w:rsidR="0006509A" w:rsidRPr="0006509A" w14:paraId="052786E8" w14:textId="77777777" w:rsidTr="00ED706C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70253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match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0F4EE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describe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132F2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interpret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C1147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criticize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FC6CD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design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AA9FA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determine</w:t>
            </w:r>
          </w:p>
        </w:tc>
      </w:tr>
      <w:tr w:rsidR="0006509A" w:rsidRPr="0006509A" w14:paraId="768BBB40" w14:textId="77777777" w:rsidTr="00ED706C">
        <w:trPr>
          <w:trHeight w:val="279"/>
        </w:trPr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F36C4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name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4D7CB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explain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75161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locate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9A66C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compare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228D8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develop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5B55D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establish</w:t>
            </w:r>
          </w:p>
        </w:tc>
      </w:tr>
      <w:tr w:rsidR="0006509A" w:rsidRPr="0006509A" w14:paraId="264D929C" w14:textId="77777777" w:rsidTr="00ED706C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B79DD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recall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EF79E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express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E2431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operate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F43B0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 xml:space="preserve">contrast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4B99C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diagnose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18D7C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evaluate</w:t>
            </w:r>
          </w:p>
        </w:tc>
      </w:tr>
      <w:tr w:rsidR="0006509A" w:rsidRPr="0006509A" w14:paraId="7C3FE99B" w14:textId="77777777" w:rsidTr="00ED706C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E25DE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recognize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F7C29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give examples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AE173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perform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7C739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determine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2DCBA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manage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AB1B3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judge</w:t>
            </w:r>
          </w:p>
        </w:tc>
      </w:tr>
      <w:tr w:rsidR="0006509A" w:rsidRPr="0006509A" w14:paraId="6E67DD35" w14:textId="77777777" w:rsidTr="00ED706C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1C762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record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ADFFA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identify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F70CE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practice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779C3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differentiate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6E909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organize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6C4C7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justify</w:t>
            </w:r>
          </w:p>
        </w:tc>
      </w:tr>
      <w:tr w:rsidR="0006509A" w:rsidRPr="0006509A" w14:paraId="40E962FE" w14:textId="77777777" w:rsidTr="00ED706C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E2F12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relate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07FE8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interpret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7D439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predict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592F5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distinguish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38B68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 plan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7FCC9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measure</w:t>
            </w:r>
          </w:p>
        </w:tc>
      </w:tr>
      <w:tr w:rsidR="0006509A" w:rsidRPr="0006509A" w14:paraId="5F6AA635" w14:textId="77777777" w:rsidTr="00ED706C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7780C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repeat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55307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recognize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F1840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present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20786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examine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762F7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propose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C7BEA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rate</w:t>
            </w:r>
          </w:p>
        </w:tc>
      </w:tr>
      <w:tr w:rsidR="0006509A" w:rsidRPr="0006509A" w14:paraId="21C33785" w14:textId="77777777" w:rsidTr="00ED706C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7362B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select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5CD37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summarize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E764C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report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D07BE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outline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EDE76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relate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937EC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recommend</w:t>
            </w:r>
          </w:p>
        </w:tc>
      </w:tr>
      <w:tr w:rsidR="0006509A" w:rsidRPr="0006509A" w14:paraId="7EF84FAF" w14:textId="77777777" w:rsidTr="00ED706C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5BA8A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state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21612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translate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5BDDA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use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14436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test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2BABC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summarize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42A673" w14:textId="77777777" w:rsidR="0006509A" w:rsidRPr="0006509A" w:rsidRDefault="0006509A" w:rsidP="00ED706C">
            <w:pPr>
              <w:jc w:val="center"/>
              <w:rPr>
                <w:rFonts w:ascii="Calibri" w:hAnsi="Calibri" w:cs="Tahoma"/>
                <w:sz w:val="22"/>
              </w:rPr>
            </w:pPr>
            <w:r w:rsidRPr="0006509A">
              <w:rPr>
                <w:rFonts w:ascii="Calibri" w:hAnsi="Calibri" w:cs="Tahoma"/>
                <w:sz w:val="22"/>
              </w:rPr>
              <w:t>select</w:t>
            </w:r>
          </w:p>
        </w:tc>
      </w:tr>
    </w:tbl>
    <w:p w14:paraId="0813612F" w14:textId="77777777" w:rsidR="00F808C2" w:rsidRPr="005677CE" w:rsidRDefault="00F808C2" w:rsidP="0091596B">
      <w:pPr>
        <w:rPr>
          <w:i/>
          <w:sz w:val="22"/>
          <w:szCs w:val="22"/>
        </w:rPr>
      </w:pPr>
    </w:p>
    <w:p w14:paraId="3E5B0FC0" w14:textId="77777777" w:rsidR="004648C5" w:rsidRDefault="004648C5" w:rsidP="0091596B">
      <w:pPr>
        <w:rPr>
          <w:i/>
          <w:sz w:val="20"/>
          <w:szCs w:val="20"/>
        </w:rPr>
      </w:pPr>
    </w:p>
    <w:p w14:paraId="3E704132" w14:textId="2D8C698D" w:rsidR="006E71DA" w:rsidRPr="004F6169" w:rsidRDefault="0091596B" w:rsidP="0091596B">
      <w:pPr>
        <w:rPr>
          <w:i/>
          <w:sz w:val="20"/>
          <w:szCs w:val="20"/>
        </w:rPr>
      </w:pPr>
      <w:r w:rsidRPr="004F6169">
        <w:rPr>
          <w:i/>
          <w:sz w:val="20"/>
          <w:szCs w:val="20"/>
        </w:rPr>
        <w:t>Resource</w:t>
      </w:r>
      <w:r w:rsidR="00FD5DF8" w:rsidRPr="004F6169">
        <w:rPr>
          <w:i/>
          <w:sz w:val="20"/>
          <w:szCs w:val="20"/>
        </w:rPr>
        <w:t>s</w:t>
      </w:r>
      <w:r w:rsidRPr="004F6169">
        <w:rPr>
          <w:i/>
          <w:sz w:val="20"/>
          <w:szCs w:val="20"/>
        </w:rPr>
        <w:t>:</w:t>
      </w:r>
    </w:p>
    <w:p w14:paraId="5C4E6923" w14:textId="6A83FD32" w:rsidR="00AD6EA1" w:rsidRDefault="00F808C2" w:rsidP="00E17C7D">
      <w:pPr>
        <w:rPr>
          <w:i/>
          <w:sz w:val="20"/>
          <w:szCs w:val="20"/>
        </w:rPr>
      </w:pPr>
      <w:r w:rsidRPr="004F6169">
        <w:rPr>
          <w:i/>
          <w:sz w:val="20"/>
          <w:szCs w:val="20"/>
        </w:rPr>
        <w:t>Writing Learning Objectives, Office of Educational Quality Improvement, Harvard Medical School</w:t>
      </w:r>
    </w:p>
    <w:p w14:paraId="1CA1A0FE" w14:textId="5C1C7436" w:rsidR="00FC1577" w:rsidRDefault="004648C5" w:rsidP="00FC1577">
      <w:pPr>
        <w:rPr>
          <w:i/>
          <w:sz w:val="20"/>
        </w:rPr>
      </w:pPr>
      <w:r w:rsidRPr="004648C5">
        <w:rPr>
          <w:i/>
          <w:sz w:val="20"/>
        </w:rPr>
        <w:t>Kern DE, Thomas PA, Hughes MT, eds. 2nd ed. Curriculum development for medical education: A six step approach. Baltimore, MD: Johns Hopkins University Press 2009</w:t>
      </w:r>
    </w:p>
    <w:p w14:paraId="250EE768" w14:textId="77777777" w:rsidR="0060534F" w:rsidRPr="0060534F" w:rsidRDefault="0060534F" w:rsidP="0060534F">
      <w:pPr>
        <w:pStyle w:val="Footer"/>
        <w:tabs>
          <w:tab w:val="left" w:pos="990"/>
        </w:tabs>
        <w:rPr>
          <w:i/>
          <w:sz w:val="20"/>
        </w:rPr>
      </w:pPr>
      <w:r w:rsidRPr="0060534F">
        <w:rPr>
          <w:i/>
          <w:sz w:val="20"/>
        </w:rPr>
        <w:t>Boston University School of Medicine Continuing Medical Education</w:t>
      </w:r>
    </w:p>
    <w:p w14:paraId="530FED49" w14:textId="18047759" w:rsidR="0060534F" w:rsidRPr="0060534F" w:rsidRDefault="0060534F" w:rsidP="0060534F">
      <w:pPr>
        <w:pStyle w:val="Footer"/>
        <w:tabs>
          <w:tab w:val="left" w:pos="990"/>
        </w:tabs>
        <w:rPr>
          <w:i/>
          <w:sz w:val="20"/>
        </w:rPr>
      </w:pPr>
      <w:r w:rsidRPr="0060534F">
        <w:rPr>
          <w:i/>
          <w:sz w:val="20"/>
        </w:rPr>
        <w:t>Johns Hopkins Medicine, Continuing Medical Education</w:t>
      </w:r>
    </w:p>
    <w:sectPr w:rsidR="0060534F" w:rsidRPr="0060534F" w:rsidSect="00F75D80">
      <w:headerReference w:type="default" r:id="rId10"/>
      <w:pgSz w:w="12240" w:h="15840"/>
      <w:pgMar w:top="1440" w:right="1008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6B9FD" w14:textId="77777777" w:rsidR="00035BFF" w:rsidRDefault="00035BFF" w:rsidP="00595EC8">
      <w:r>
        <w:separator/>
      </w:r>
    </w:p>
  </w:endnote>
  <w:endnote w:type="continuationSeparator" w:id="0">
    <w:p w14:paraId="2F038D2B" w14:textId="77777777" w:rsidR="00035BFF" w:rsidRDefault="00035BFF" w:rsidP="0059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02888" w14:textId="77777777" w:rsidR="00035BFF" w:rsidRDefault="00035BFF" w:rsidP="00595EC8">
      <w:r>
        <w:separator/>
      </w:r>
    </w:p>
  </w:footnote>
  <w:footnote w:type="continuationSeparator" w:id="0">
    <w:p w14:paraId="40459D11" w14:textId="77777777" w:rsidR="00035BFF" w:rsidRDefault="00035BFF" w:rsidP="00595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8693D" w14:textId="1F031450" w:rsidR="00AD44EC" w:rsidRDefault="00AD44EC">
    <w:pPr>
      <w:pStyle w:val="Header"/>
    </w:pPr>
    <w:r w:rsidRPr="00BB0F12">
      <w:rPr>
        <w:rFonts w:ascii="Times New Roman" w:eastAsia="Times New Roman" w:hAnsi="Times New Roman" w:cs="Times New Roman"/>
        <w:noProof/>
      </w:rPr>
      <w:drawing>
        <wp:inline distT="0" distB="0" distL="0" distR="0" wp14:anchorId="542F0E3D" wp14:editId="2C421773">
          <wp:extent cx="2337435" cy="569800"/>
          <wp:effectExtent l="0" t="0" r="0" b="0"/>
          <wp:docPr id="1" name="Picture 1" descr="https://dme.childrenshospital.org/wp-content/uploads/2017/08/BCH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dme.childrenshospital.org/wp-content/uploads/2017/08/BCH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069" cy="5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E5548"/>
    <w:multiLevelType w:val="hybridMultilevel"/>
    <w:tmpl w:val="E10E6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127DB"/>
    <w:multiLevelType w:val="hybridMultilevel"/>
    <w:tmpl w:val="8A3C8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7008B"/>
    <w:multiLevelType w:val="hybridMultilevel"/>
    <w:tmpl w:val="2FBC9110"/>
    <w:lvl w:ilvl="0" w:tplc="7A325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E6871"/>
    <w:multiLevelType w:val="hybridMultilevel"/>
    <w:tmpl w:val="1F4E5BDA"/>
    <w:lvl w:ilvl="0" w:tplc="3AD8F9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AD8F93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3E0FA2"/>
    <w:multiLevelType w:val="hybridMultilevel"/>
    <w:tmpl w:val="F7AE6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C33D1F"/>
    <w:multiLevelType w:val="hybridMultilevel"/>
    <w:tmpl w:val="0C88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D8F93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25D"/>
    <w:rsid w:val="00022806"/>
    <w:rsid w:val="00035BFF"/>
    <w:rsid w:val="0006509A"/>
    <w:rsid w:val="000817DD"/>
    <w:rsid w:val="000A2E6F"/>
    <w:rsid w:val="000D1CA2"/>
    <w:rsid w:val="00166CA5"/>
    <w:rsid w:val="001D49BF"/>
    <w:rsid w:val="00210E5F"/>
    <w:rsid w:val="002A022D"/>
    <w:rsid w:val="002C33E0"/>
    <w:rsid w:val="002E0148"/>
    <w:rsid w:val="0033278A"/>
    <w:rsid w:val="00345344"/>
    <w:rsid w:val="00362C44"/>
    <w:rsid w:val="003870DE"/>
    <w:rsid w:val="003A0C22"/>
    <w:rsid w:val="003F0EE3"/>
    <w:rsid w:val="0045120F"/>
    <w:rsid w:val="00461290"/>
    <w:rsid w:val="004648C5"/>
    <w:rsid w:val="0048658C"/>
    <w:rsid w:val="0049430B"/>
    <w:rsid w:val="004A2BE0"/>
    <w:rsid w:val="004B012E"/>
    <w:rsid w:val="004C7844"/>
    <w:rsid w:val="004D180F"/>
    <w:rsid w:val="004F6169"/>
    <w:rsid w:val="005145AE"/>
    <w:rsid w:val="005348A2"/>
    <w:rsid w:val="005677CE"/>
    <w:rsid w:val="005802DE"/>
    <w:rsid w:val="00590B1C"/>
    <w:rsid w:val="00595EC8"/>
    <w:rsid w:val="005A6E32"/>
    <w:rsid w:val="005B7869"/>
    <w:rsid w:val="0060534F"/>
    <w:rsid w:val="00612E70"/>
    <w:rsid w:val="006646E8"/>
    <w:rsid w:val="00670264"/>
    <w:rsid w:val="006B286C"/>
    <w:rsid w:val="006D42F1"/>
    <w:rsid w:val="006E71DA"/>
    <w:rsid w:val="00702011"/>
    <w:rsid w:val="00720388"/>
    <w:rsid w:val="00760B5E"/>
    <w:rsid w:val="00763937"/>
    <w:rsid w:val="00780C90"/>
    <w:rsid w:val="007C2C75"/>
    <w:rsid w:val="0082005F"/>
    <w:rsid w:val="00827D55"/>
    <w:rsid w:val="00844953"/>
    <w:rsid w:val="00854B2B"/>
    <w:rsid w:val="00862061"/>
    <w:rsid w:val="008678E7"/>
    <w:rsid w:val="008E0303"/>
    <w:rsid w:val="0091596B"/>
    <w:rsid w:val="009D1731"/>
    <w:rsid w:val="009F5315"/>
    <w:rsid w:val="00A2125C"/>
    <w:rsid w:val="00A27978"/>
    <w:rsid w:val="00A56FFE"/>
    <w:rsid w:val="00A74C73"/>
    <w:rsid w:val="00A76C11"/>
    <w:rsid w:val="00A83A52"/>
    <w:rsid w:val="00AA1EF1"/>
    <w:rsid w:val="00AB0693"/>
    <w:rsid w:val="00AD44EC"/>
    <w:rsid w:val="00AD6EA1"/>
    <w:rsid w:val="00B23D47"/>
    <w:rsid w:val="00B71484"/>
    <w:rsid w:val="00B9516A"/>
    <w:rsid w:val="00BB0955"/>
    <w:rsid w:val="00BD0ACB"/>
    <w:rsid w:val="00BD3C4A"/>
    <w:rsid w:val="00BD44B5"/>
    <w:rsid w:val="00BF7D23"/>
    <w:rsid w:val="00C209FE"/>
    <w:rsid w:val="00C2643B"/>
    <w:rsid w:val="00C702DB"/>
    <w:rsid w:val="00CB3190"/>
    <w:rsid w:val="00CD1A3B"/>
    <w:rsid w:val="00D14B51"/>
    <w:rsid w:val="00D40888"/>
    <w:rsid w:val="00D80315"/>
    <w:rsid w:val="00DC682E"/>
    <w:rsid w:val="00E033B9"/>
    <w:rsid w:val="00E162C9"/>
    <w:rsid w:val="00E17C7D"/>
    <w:rsid w:val="00E35E9A"/>
    <w:rsid w:val="00E60F13"/>
    <w:rsid w:val="00E75C3C"/>
    <w:rsid w:val="00E83532"/>
    <w:rsid w:val="00EB66C1"/>
    <w:rsid w:val="00EE7827"/>
    <w:rsid w:val="00F36E68"/>
    <w:rsid w:val="00F5760E"/>
    <w:rsid w:val="00F75D80"/>
    <w:rsid w:val="00F777B0"/>
    <w:rsid w:val="00F808C2"/>
    <w:rsid w:val="00F8307D"/>
    <w:rsid w:val="00F940B4"/>
    <w:rsid w:val="00FC1577"/>
    <w:rsid w:val="00FC225D"/>
    <w:rsid w:val="00FD5DF8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AEB7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25D"/>
    <w:pPr>
      <w:ind w:left="720"/>
      <w:contextualSpacing/>
    </w:pPr>
  </w:style>
  <w:style w:type="table" w:styleId="TableGrid">
    <w:name w:val="Table Grid"/>
    <w:basedOn w:val="TableNormal"/>
    <w:uiPriority w:val="39"/>
    <w:rsid w:val="009F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E030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8E0303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30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303"/>
    <w:rPr>
      <w:i/>
      <w:iCs/>
      <w:color w:val="4472C4" w:themeColor="accent1"/>
    </w:rPr>
  </w:style>
  <w:style w:type="character" w:styleId="BookTitle">
    <w:name w:val="Book Title"/>
    <w:basedOn w:val="DefaultParagraphFont"/>
    <w:uiPriority w:val="33"/>
    <w:qFormat/>
    <w:rsid w:val="008E0303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qFormat/>
    <w:rsid w:val="008E0303"/>
    <w:rPr>
      <w:smallCaps/>
      <w:color w:val="5A5A5A" w:themeColor="text1" w:themeTint="A5"/>
    </w:rPr>
  </w:style>
  <w:style w:type="character" w:styleId="Strong">
    <w:name w:val="Strong"/>
    <w:basedOn w:val="DefaultParagraphFont"/>
    <w:uiPriority w:val="22"/>
    <w:qFormat/>
    <w:rsid w:val="008E0303"/>
    <w:rPr>
      <w:b/>
      <w:bCs/>
    </w:rPr>
  </w:style>
  <w:style w:type="table" w:customStyle="1" w:styleId="GridTable3">
    <w:name w:val="Grid Table 3"/>
    <w:basedOn w:val="TableNormal"/>
    <w:uiPriority w:val="48"/>
    <w:rsid w:val="00F940B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F940B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F940B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F940B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C702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02DB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595EC8"/>
  </w:style>
  <w:style w:type="character" w:customStyle="1" w:styleId="FootnoteTextChar">
    <w:name w:val="Footnote Text Char"/>
    <w:basedOn w:val="DefaultParagraphFont"/>
    <w:link w:val="FootnoteText"/>
    <w:uiPriority w:val="99"/>
    <w:rsid w:val="00595EC8"/>
  </w:style>
  <w:style w:type="character" w:styleId="FootnoteReference">
    <w:name w:val="footnote reference"/>
    <w:basedOn w:val="DefaultParagraphFont"/>
    <w:uiPriority w:val="99"/>
    <w:unhideWhenUsed/>
    <w:rsid w:val="00595EC8"/>
    <w:rPr>
      <w:vertAlign w:val="superscript"/>
    </w:rPr>
  </w:style>
  <w:style w:type="paragraph" w:customStyle="1" w:styleId="textbox">
    <w:name w:val="textbox"/>
    <w:basedOn w:val="Normal"/>
    <w:rsid w:val="006E71D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1">
    <w:name w:val="p1"/>
    <w:basedOn w:val="Normal"/>
    <w:rsid w:val="00F5760E"/>
    <w:rPr>
      <w:rFonts w:ascii="Arial" w:hAnsi="Arial" w:cs="Arial"/>
      <w:sz w:val="18"/>
      <w:szCs w:val="18"/>
    </w:rPr>
  </w:style>
  <w:style w:type="paragraph" w:customStyle="1" w:styleId="p2">
    <w:name w:val="p2"/>
    <w:basedOn w:val="Normal"/>
    <w:rsid w:val="00F5760E"/>
    <w:rPr>
      <w:rFonts w:ascii="Arial" w:hAnsi="Arial" w:cs="Arial"/>
      <w:sz w:val="15"/>
      <w:szCs w:val="15"/>
    </w:rPr>
  </w:style>
  <w:style w:type="character" w:customStyle="1" w:styleId="apple-converted-space">
    <w:name w:val="apple-converted-space"/>
    <w:basedOn w:val="DefaultParagraphFont"/>
    <w:rsid w:val="00F5760E"/>
  </w:style>
  <w:style w:type="paragraph" w:styleId="Header">
    <w:name w:val="header"/>
    <w:basedOn w:val="Normal"/>
    <w:link w:val="HeaderChar"/>
    <w:uiPriority w:val="99"/>
    <w:unhideWhenUsed/>
    <w:rsid w:val="00AD44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44EC"/>
  </w:style>
  <w:style w:type="paragraph" w:styleId="Footer">
    <w:name w:val="footer"/>
    <w:basedOn w:val="Normal"/>
    <w:link w:val="FooterChar"/>
    <w:uiPriority w:val="99"/>
    <w:unhideWhenUsed/>
    <w:rsid w:val="00AD44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4EC"/>
  </w:style>
  <w:style w:type="paragraph" w:styleId="BalloonText">
    <w:name w:val="Balloon Text"/>
    <w:basedOn w:val="Normal"/>
    <w:link w:val="BalloonTextChar"/>
    <w:uiPriority w:val="99"/>
    <w:semiHidden/>
    <w:unhideWhenUsed/>
    <w:rsid w:val="004943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3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25D"/>
    <w:pPr>
      <w:ind w:left="720"/>
      <w:contextualSpacing/>
    </w:pPr>
  </w:style>
  <w:style w:type="table" w:styleId="TableGrid">
    <w:name w:val="Table Grid"/>
    <w:basedOn w:val="TableNormal"/>
    <w:uiPriority w:val="39"/>
    <w:rsid w:val="009F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E030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8E0303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30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303"/>
    <w:rPr>
      <w:i/>
      <w:iCs/>
      <w:color w:val="4472C4" w:themeColor="accent1"/>
    </w:rPr>
  </w:style>
  <w:style w:type="character" w:styleId="BookTitle">
    <w:name w:val="Book Title"/>
    <w:basedOn w:val="DefaultParagraphFont"/>
    <w:uiPriority w:val="33"/>
    <w:qFormat/>
    <w:rsid w:val="008E0303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qFormat/>
    <w:rsid w:val="008E0303"/>
    <w:rPr>
      <w:smallCaps/>
      <w:color w:val="5A5A5A" w:themeColor="text1" w:themeTint="A5"/>
    </w:rPr>
  </w:style>
  <w:style w:type="character" w:styleId="Strong">
    <w:name w:val="Strong"/>
    <w:basedOn w:val="DefaultParagraphFont"/>
    <w:uiPriority w:val="22"/>
    <w:qFormat/>
    <w:rsid w:val="008E0303"/>
    <w:rPr>
      <w:b/>
      <w:bCs/>
    </w:rPr>
  </w:style>
  <w:style w:type="table" w:customStyle="1" w:styleId="GridTable3">
    <w:name w:val="Grid Table 3"/>
    <w:basedOn w:val="TableNormal"/>
    <w:uiPriority w:val="48"/>
    <w:rsid w:val="00F940B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F940B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F940B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F940B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C702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02DB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595EC8"/>
  </w:style>
  <w:style w:type="character" w:customStyle="1" w:styleId="FootnoteTextChar">
    <w:name w:val="Footnote Text Char"/>
    <w:basedOn w:val="DefaultParagraphFont"/>
    <w:link w:val="FootnoteText"/>
    <w:uiPriority w:val="99"/>
    <w:rsid w:val="00595EC8"/>
  </w:style>
  <w:style w:type="character" w:styleId="FootnoteReference">
    <w:name w:val="footnote reference"/>
    <w:basedOn w:val="DefaultParagraphFont"/>
    <w:uiPriority w:val="99"/>
    <w:unhideWhenUsed/>
    <w:rsid w:val="00595EC8"/>
    <w:rPr>
      <w:vertAlign w:val="superscript"/>
    </w:rPr>
  </w:style>
  <w:style w:type="paragraph" w:customStyle="1" w:styleId="textbox">
    <w:name w:val="textbox"/>
    <w:basedOn w:val="Normal"/>
    <w:rsid w:val="006E71D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1">
    <w:name w:val="p1"/>
    <w:basedOn w:val="Normal"/>
    <w:rsid w:val="00F5760E"/>
    <w:rPr>
      <w:rFonts w:ascii="Arial" w:hAnsi="Arial" w:cs="Arial"/>
      <w:sz w:val="18"/>
      <w:szCs w:val="18"/>
    </w:rPr>
  </w:style>
  <w:style w:type="paragraph" w:customStyle="1" w:styleId="p2">
    <w:name w:val="p2"/>
    <w:basedOn w:val="Normal"/>
    <w:rsid w:val="00F5760E"/>
    <w:rPr>
      <w:rFonts w:ascii="Arial" w:hAnsi="Arial" w:cs="Arial"/>
      <w:sz w:val="15"/>
      <w:szCs w:val="15"/>
    </w:rPr>
  </w:style>
  <w:style w:type="character" w:customStyle="1" w:styleId="apple-converted-space">
    <w:name w:val="apple-converted-space"/>
    <w:basedOn w:val="DefaultParagraphFont"/>
    <w:rsid w:val="00F5760E"/>
  </w:style>
  <w:style w:type="paragraph" w:styleId="Header">
    <w:name w:val="header"/>
    <w:basedOn w:val="Normal"/>
    <w:link w:val="HeaderChar"/>
    <w:uiPriority w:val="99"/>
    <w:unhideWhenUsed/>
    <w:rsid w:val="00AD44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44EC"/>
  </w:style>
  <w:style w:type="paragraph" w:styleId="Footer">
    <w:name w:val="footer"/>
    <w:basedOn w:val="Normal"/>
    <w:link w:val="FooterChar"/>
    <w:uiPriority w:val="99"/>
    <w:unhideWhenUsed/>
    <w:rsid w:val="00AD44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4EC"/>
  </w:style>
  <w:style w:type="paragraph" w:styleId="BalloonText">
    <w:name w:val="Balloon Text"/>
    <w:basedOn w:val="Normal"/>
    <w:link w:val="BalloonTextChar"/>
    <w:uiPriority w:val="99"/>
    <w:semiHidden/>
    <w:unhideWhenUsed/>
    <w:rsid w:val="004943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810C592-0E8D-47C8-A774-B8F686567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Huth</dc:creator>
  <cp:lastModifiedBy>Newman, Lori</cp:lastModifiedBy>
  <cp:revision>2</cp:revision>
  <cp:lastPrinted>2018-02-23T18:46:00Z</cp:lastPrinted>
  <dcterms:created xsi:type="dcterms:W3CDTF">2018-07-23T17:23:00Z</dcterms:created>
  <dcterms:modified xsi:type="dcterms:W3CDTF">2018-07-23T17:23:00Z</dcterms:modified>
</cp:coreProperties>
</file>